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8249BC" w14:paraId="3D9C34F4" w14:textId="77777777" w:rsidTr="008249BC">
        <w:trPr>
          <w:tblHeader/>
        </w:trPr>
        <w:tc>
          <w:tcPr>
            <w:tcW w:w="3388" w:type="dxa"/>
            <w:tcBorders>
              <w:bottom w:val="single" w:sz="18" w:space="0" w:color="auto"/>
            </w:tcBorders>
          </w:tcPr>
          <w:p w14:paraId="3C27D9BA" w14:textId="77777777" w:rsidR="008249BC" w:rsidRPr="00B805DB" w:rsidRDefault="008249BC" w:rsidP="007A6EA2">
            <w:pPr>
              <w:pStyle w:val="Heading1"/>
              <w:spacing w:after="240"/>
              <w:outlineLvl w:val="0"/>
            </w:pPr>
            <w:r>
              <w:t>Report f</w:t>
            </w:r>
            <w:r w:rsidRPr="00C869F3">
              <w:t>or:</w:t>
            </w:r>
          </w:p>
        </w:tc>
        <w:tc>
          <w:tcPr>
            <w:tcW w:w="4921" w:type="dxa"/>
            <w:tcBorders>
              <w:bottom w:val="single" w:sz="18" w:space="0" w:color="auto"/>
            </w:tcBorders>
          </w:tcPr>
          <w:p w14:paraId="10F90E09" w14:textId="27E6CDFA" w:rsidR="008249BC" w:rsidRPr="00A160B2" w:rsidRDefault="008249BC" w:rsidP="007A6EA2">
            <w:pPr>
              <w:pStyle w:val="Heading1"/>
              <w:outlineLvl w:val="0"/>
              <w:rPr>
                <w:color w:val="0000FF"/>
                <w:szCs w:val="24"/>
              </w:rPr>
            </w:pPr>
            <w:r>
              <w:t>Governance, Audit, Risk Management and Standards Committee</w:t>
            </w:r>
            <w:r w:rsidRPr="00A160B2">
              <w:rPr>
                <w:color w:val="0000FF"/>
              </w:rPr>
              <w:t xml:space="preserve"> </w:t>
            </w:r>
          </w:p>
        </w:tc>
      </w:tr>
      <w:tr w:rsidR="008249BC" w14:paraId="28D3F44D" w14:textId="77777777" w:rsidTr="008249BC">
        <w:tc>
          <w:tcPr>
            <w:tcW w:w="3388" w:type="dxa"/>
            <w:tcBorders>
              <w:top w:val="single" w:sz="18" w:space="0" w:color="auto"/>
            </w:tcBorders>
          </w:tcPr>
          <w:p w14:paraId="2CA84BA2" w14:textId="77777777" w:rsidR="008249BC" w:rsidRPr="00F92398" w:rsidRDefault="008249BC" w:rsidP="007A6EA2">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4F6A5B45" w14:textId="77777777" w:rsidR="008249BC" w:rsidRPr="00F92398" w:rsidRDefault="008249BC" w:rsidP="007A6EA2">
            <w:pPr>
              <w:pStyle w:val="Infotext"/>
              <w:rPr>
                <w:rFonts w:ascii="Arial Black" w:hAnsi="Arial Black" w:cs="Arial"/>
              </w:rPr>
            </w:pPr>
          </w:p>
        </w:tc>
        <w:tc>
          <w:tcPr>
            <w:tcW w:w="4921" w:type="dxa"/>
            <w:tcBorders>
              <w:top w:val="single" w:sz="18" w:space="0" w:color="auto"/>
            </w:tcBorders>
          </w:tcPr>
          <w:p w14:paraId="3E3C429A" w14:textId="6C8ED0DA" w:rsidR="008249BC" w:rsidRDefault="008249BC" w:rsidP="007A6EA2">
            <w:pPr>
              <w:pStyle w:val="Infotext"/>
              <w:rPr>
                <w:rFonts w:cs="Arial"/>
              </w:rPr>
            </w:pPr>
            <w:r>
              <w:rPr>
                <w:rFonts w:cs="Arial"/>
              </w:rPr>
              <w:t>30 November 2022</w:t>
            </w:r>
          </w:p>
        </w:tc>
      </w:tr>
      <w:tr w:rsidR="008249BC" w14:paraId="4022E76B" w14:textId="77777777" w:rsidTr="008249BC">
        <w:tc>
          <w:tcPr>
            <w:tcW w:w="3388" w:type="dxa"/>
          </w:tcPr>
          <w:p w14:paraId="664FE618" w14:textId="77777777" w:rsidR="008249BC" w:rsidRPr="00F92398" w:rsidRDefault="008249BC" w:rsidP="008249BC">
            <w:pPr>
              <w:pStyle w:val="Infotext"/>
              <w:rPr>
                <w:rFonts w:ascii="Arial Black" w:hAnsi="Arial Black" w:cs="Arial"/>
              </w:rPr>
            </w:pPr>
            <w:r w:rsidRPr="00F92398">
              <w:rPr>
                <w:rFonts w:ascii="Arial Black" w:hAnsi="Arial Black" w:cs="Arial"/>
              </w:rPr>
              <w:t>Subject:</w:t>
            </w:r>
          </w:p>
          <w:p w14:paraId="223B026F" w14:textId="77777777" w:rsidR="008249BC" w:rsidRPr="00F92398" w:rsidRDefault="008249BC" w:rsidP="008249BC">
            <w:pPr>
              <w:pStyle w:val="Infotext"/>
              <w:rPr>
                <w:rFonts w:ascii="Arial Black" w:hAnsi="Arial Black"/>
              </w:rPr>
            </w:pPr>
          </w:p>
        </w:tc>
        <w:tc>
          <w:tcPr>
            <w:tcW w:w="4921" w:type="dxa"/>
          </w:tcPr>
          <w:p w14:paraId="4CD91C63" w14:textId="56489E91" w:rsidR="008249BC" w:rsidRDefault="008249BC" w:rsidP="008249BC">
            <w:pPr>
              <w:pStyle w:val="Infotext"/>
              <w:rPr>
                <w:rFonts w:cs="Arial"/>
              </w:rPr>
            </w:pPr>
            <w:r w:rsidRPr="00493E23">
              <w:rPr>
                <w:rFonts w:cs="Arial"/>
              </w:rPr>
              <w:t>Annual Governance Statement 20</w:t>
            </w:r>
            <w:r>
              <w:rPr>
                <w:rFonts w:cs="Arial"/>
              </w:rPr>
              <w:t>21</w:t>
            </w:r>
            <w:r w:rsidRPr="00493E23">
              <w:rPr>
                <w:rFonts w:cs="Arial"/>
              </w:rPr>
              <w:t>/2</w:t>
            </w:r>
            <w:r>
              <w:rPr>
                <w:rFonts w:cs="Arial"/>
              </w:rPr>
              <w:t>2</w:t>
            </w:r>
          </w:p>
        </w:tc>
      </w:tr>
      <w:tr w:rsidR="008249BC" w14:paraId="60FB3D36" w14:textId="77777777" w:rsidTr="008249BC">
        <w:tc>
          <w:tcPr>
            <w:tcW w:w="3388" w:type="dxa"/>
          </w:tcPr>
          <w:p w14:paraId="1614CB77" w14:textId="77777777" w:rsidR="008249BC" w:rsidRPr="00F92398" w:rsidRDefault="008249BC" w:rsidP="008249BC">
            <w:pPr>
              <w:pStyle w:val="Infotext"/>
              <w:rPr>
                <w:rFonts w:ascii="Arial Black" w:hAnsi="Arial Black" w:cs="Arial"/>
              </w:rPr>
            </w:pPr>
            <w:r w:rsidRPr="00F92398">
              <w:rPr>
                <w:rFonts w:ascii="Arial Black" w:hAnsi="Arial Black" w:cs="Arial"/>
              </w:rPr>
              <w:t>Responsible Officer:</w:t>
            </w:r>
          </w:p>
          <w:p w14:paraId="36CE54AB" w14:textId="77777777" w:rsidR="008249BC" w:rsidRPr="00F92398" w:rsidRDefault="008249BC" w:rsidP="008249BC">
            <w:pPr>
              <w:pStyle w:val="Infotext"/>
              <w:rPr>
                <w:rFonts w:ascii="Arial Black" w:hAnsi="Arial Black" w:cs="Arial"/>
              </w:rPr>
            </w:pPr>
          </w:p>
        </w:tc>
        <w:tc>
          <w:tcPr>
            <w:tcW w:w="4921" w:type="dxa"/>
          </w:tcPr>
          <w:p w14:paraId="3AF7FCC3" w14:textId="77777777" w:rsidR="008249BC" w:rsidRPr="00493E23" w:rsidRDefault="008249BC" w:rsidP="008249BC">
            <w:pPr>
              <w:pStyle w:val="Infotext"/>
              <w:rPr>
                <w:rFonts w:cs="Arial"/>
              </w:rPr>
            </w:pPr>
            <w:r w:rsidRPr="00493E23">
              <w:rPr>
                <w:rFonts w:cs="Arial"/>
              </w:rPr>
              <w:t>Dawn Calvert, Director of Finance &amp; Assurance</w:t>
            </w:r>
          </w:p>
          <w:p w14:paraId="375C0A13" w14:textId="77777777" w:rsidR="008249BC" w:rsidRDefault="008249BC" w:rsidP="008249BC">
            <w:pPr>
              <w:pStyle w:val="Infotext"/>
              <w:rPr>
                <w:rFonts w:cs="Arial"/>
              </w:rPr>
            </w:pPr>
          </w:p>
        </w:tc>
      </w:tr>
      <w:tr w:rsidR="008249BC" w14:paraId="507AFE4D" w14:textId="77777777" w:rsidTr="008249BC">
        <w:tc>
          <w:tcPr>
            <w:tcW w:w="3388" w:type="dxa"/>
          </w:tcPr>
          <w:p w14:paraId="2168374E" w14:textId="77777777" w:rsidR="008249BC" w:rsidRPr="00F92398" w:rsidRDefault="008249BC" w:rsidP="008249BC">
            <w:pPr>
              <w:pStyle w:val="Infotext"/>
              <w:rPr>
                <w:rFonts w:ascii="Arial Black" w:hAnsi="Arial Black" w:cs="Arial"/>
              </w:rPr>
            </w:pPr>
            <w:r w:rsidRPr="00F92398">
              <w:rPr>
                <w:rFonts w:ascii="Arial Black" w:hAnsi="Arial Black" w:cs="Arial"/>
              </w:rPr>
              <w:t>Exempt:</w:t>
            </w:r>
          </w:p>
          <w:p w14:paraId="361E7A63" w14:textId="77777777" w:rsidR="008249BC" w:rsidRPr="00F92398" w:rsidRDefault="008249BC" w:rsidP="008249BC">
            <w:pPr>
              <w:pStyle w:val="Infotext"/>
              <w:rPr>
                <w:rFonts w:ascii="Arial Black" w:hAnsi="Arial Black" w:cs="Arial"/>
              </w:rPr>
            </w:pPr>
          </w:p>
        </w:tc>
        <w:tc>
          <w:tcPr>
            <w:tcW w:w="4921" w:type="dxa"/>
          </w:tcPr>
          <w:p w14:paraId="4A49F3A4" w14:textId="3041806B" w:rsidR="008249BC" w:rsidRDefault="008249BC" w:rsidP="008249BC">
            <w:pPr>
              <w:pStyle w:val="Infotext"/>
              <w:rPr>
                <w:rFonts w:cs="Arial"/>
              </w:rPr>
            </w:pPr>
            <w:r>
              <w:rPr>
                <w:rFonts w:cs="Arial"/>
              </w:rPr>
              <w:t>No</w:t>
            </w:r>
          </w:p>
          <w:p w14:paraId="41FAE048" w14:textId="77777777" w:rsidR="008249BC" w:rsidRDefault="008249BC" w:rsidP="004D20A9">
            <w:pPr>
              <w:pStyle w:val="Infotext"/>
              <w:rPr>
                <w:rFonts w:cs="Arial"/>
              </w:rPr>
            </w:pPr>
          </w:p>
        </w:tc>
      </w:tr>
      <w:tr w:rsidR="008249BC" w14:paraId="2E240F31" w14:textId="77777777" w:rsidTr="008249BC">
        <w:tc>
          <w:tcPr>
            <w:tcW w:w="3388" w:type="dxa"/>
          </w:tcPr>
          <w:p w14:paraId="197AA924" w14:textId="77777777" w:rsidR="008249BC" w:rsidRDefault="008249BC" w:rsidP="008249BC">
            <w:pPr>
              <w:pStyle w:val="Infotext"/>
              <w:rPr>
                <w:rFonts w:ascii="Arial Black" w:hAnsi="Arial Black" w:cs="Arial"/>
              </w:rPr>
            </w:pPr>
            <w:r>
              <w:rPr>
                <w:rFonts w:ascii="Arial Black" w:hAnsi="Arial Black" w:cs="Arial"/>
              </w:rPr>
              <w:t>Wards affected:</w:t>
            </w:r>
          </w:p>
          <w:p w14:paraId="11B78367" w14:textId="77777777" w:rsidR="008249BC" w:rsidRPr="00F92398" w:rsidRDefault="008249BC" w:rsidP="008249BC">
            <w:pPr>
              <w:pStyle w:val="Infotext"/>
              <w:rPr>
                <w:rFonts w:ascii="Arial Black" w:hAnsi="Arial Black" w:cs="Arial"/>
              </w:rPr>
            </w:pPr>
          </w:p>
        </w:tc>
        <w:tc>
          <w:tcPr>
            <w:tcW w:w="4921" w:type="dxa"/>
          </w:tcPr>
          <w:p w14:paraId="42FE3AD6" w14:textId="0677BDDC" w:rsidR="008249BC" w:rsidRDefault="004D20A9" w:rsidP="008249BC">
            <w:pPr>
              <w:pStyle w:val="Infotext"/>
            </w:pPr>
            <w:r>
              <w:rPr>
                <w:rFonts w:cs="Arial"/>
                <w:szCs w:val="24"/>
              </w:rPr>
              <w:t>All Wards</w:t>
            </w:r>
          </w:p>
        </w:tc>
      </w:tr>
      <w:tr w:rsidR="008249BC" w14:paraId="501BA9FC" w14:textId="77777777" w:rsidTr="008249BC">
        <w:tc>
          <w:tcPr>
            <w:tcW w:w="3388" w:type="dxa"/>
          </w:tcPr>
          <w:p w14:paraId="38679069" w14:textId="77777777" w:rsidR="008249BC" w:rsidRPr="00F92398" w:rsidRDefault="008249BC" w:rsidP="008249BC">
            <w:pPr>
              <w:pStyle w:val="Infotext"/>
              <w:rPr>
                <w:rFonts w:ascii="Arial Black" w:hAnsi="Arial Black" w:cs="Arial"/>
              </w:rPr>
            </w:pPr>
          </w:p>
          <w:p w14:paraId="781BDC2A" w14:textId="77777777" w:rsidR="008249BC" w:rsidRPr="00F92398" w:rsidRDefault="008249BC" w:rsidP="008249BC">
            <w:pPr>
              <w:pStyle w:val="Infotext"/>
              <w:rPr>
                <w:rFonts w:ascii="Arial Black" w:hAnsi="Arial Black" w:cs="Arial"/>
              </w:rPr>
            </w:pPr>
            <w:r w:rsidRPr="00F92398">
              <w:rPr>
                <w:rFonts w:ascii="Arial Black" w:hAnsi="Arial Black" w:cs="Arial"/>
              </w:rPr>
              <w:t>Enclosures:</w:t>
            </w:r>
          </w:p>
          <w:p w14:paraId="5FDA3729" w14:textId="77777777" w:rsidR="008249BC" w:rsidRPr="00F92398" w:rsidRDefault="008249BC" w:rsidP="008249BC">
            <w:pPr>
              <w:pStyle w:val="Infotext"/>
              <w:rPr>
                <w:rFonts w:ascii="Arial Black" w:hAnsi="Arial Black" w:cs="Arial"/>
              </w:rPr>
            </w:pPr>
          </w:p>
        </w:tc>
        <w:tc>
          <w:tcPr>
            <w:tcW w:w="4921" w:type="dxa"/>
          </w:tcPr>
          <w:p w14:paraId="5182FC21" w14:textId="77777777" w:rsidR="008249BC" w:rsidRDefault="008249BC" w:rsidP="008249BC">
            <w:pPr>
              <w:pStyle w:val="Infotext"/>
            </w:pPr>
          </w:p>
          <w:p w14:paraId="569BA866" w14:textId="77777777" w:rsidR="008249BC" w:rsidRDefault="008249BC" w:rsidP="008249BC">
            <w:pPr>
              <w:pStyle w:val="Infotext"/>
              <w:numPr>
                <w:ilvl w:val="0"/>
                <w:numId w:val="21"/>
              </w:numPr>
            </w:pPr>
            <w:r>
              <w:t>Annual Governance Statement 2021/22</w:t>
            </w:r>
          </w:p>
          <w:p w14:paraId="2C9843C5" w14:textId="77777777" w:rsidR="008249BC" w:rsidRDefault="008249BC" w:rsidP="008249BC">
            <w:pPr>
              <w:pStyle w:val="Infotext"/>
              <w:numPr>
                <w:ilvl w:val="0"/>
                <w:numId w:val="21"/>
              </w:numPr>
            </w:pPr>
            <w:r>
              <w:t xml:space="preserve">Annual Review of Governance 2021/22 - Evidence Table </w:t>
            </w:r>
          </w:p>
          <w:p w14:paraId="290F6ED5" w14:textId="686CB9ED" w:rsidR="008249BC" w:rsidRDefault="008249BC" w:rsidP="008249BC">
            <w:pPr>
              <w:pStyle w:val="Infotext"/>
              <w:numPr>
                <w:ilvl w:val="0"/>
                <w:numId w:val="21"/>
              </w:numPr>
            </w:pPr>
            <w:r>
              <w:t>Management Assurance 2021/22</w:t>
            </w:r>
          </w:p>
        </w:tc>
      </w:tr>
    </w:tbl>
    <w:p w14:paraId="18A939CB" w14:textId="7259CE31" w:rsidR="007855AE" w:rsidRDefault="007855AE" w:rsidP="008249BC">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E86164">
        <w:trPr>
          <w:tblHeader/>
        </w:trPr>
        <w:tc>
          <w:tcPr>
            <w:tcW w:w="8309" w:type="dxa"/>
            <w:tcBorders>
              <w:left w:val="nil"/>
              <w:right w:val="nil"/>
            </w:tcBorders>
          </w:tcPr>
          <w:p w14:paraId="2C9E4A81" w14:textId="526C7B24" w:rsidR="00A160B2" w:rsidRPr="009F509C" w:rsidRDefault="00A160B2" w:rsidP="008249BC">
            <w:pPr>
              <w:widowControl w:val="0"/>
            </w:pPr>
            <w:r w:rsidRPr="009F509C">
              <w:t>This report sets out</w:t>
            </w:r>
            <w:r w:rsidR="00493E23" w:rsidRPr="009F509C">
              <w:t xml:space="preserve"> the Annual Governance Statement (AGS) 202</w:t>
            </w:r>
            <w:r w:rsidR="00C568E9">
              <w:t>1</w:t>
            </w:r>
            <w:r w:rsidR="00493E23" w:rsidRPr="009F509C">
              <w:t>/2</w:t>
            </w:r>
            <w:r w:rsidR="00C568E9">
              <w:t>2</w:t>
            </w:r>
            <w:r w:rsidR="009F509C">
              <w:t>.</w:t>
            </w:r>
          </w:p>
          <w:p w14:paraId="5FD8043B" w14:textId="77777777" w:rsidR="00493E23" w:rsidRDefault="00493E23" w:rsidP="008249BC">
            <w:pPr>
              <w:rPr>
                <w:rFonts w:ascii="Arial Bold" w:hAnsi="Arial Bold"/>
                <w:b/>
                <w:sz w:val="28"/>
              </w:rPr>
            </w:pPr>
          </w:p>
          <w:p w14:paraId="4F9D0A08" w14:textId="77777777" w:rsidR="00A160B2" w:rsidRPr="00A160B2" w:rsidRDefault="00A160B2" w:rsidP="008249BC">
            <w:pPr>
              <w:widowControl w:val="0"/>
              <w:rPr>
                <w:rFonts w:ascii="Arial Bold" w:hAnsi="Arial Bold"/>
                <w:b/>
                <w:sz w:val="28"/>
              </w:rPr>
            </w:pPr>
            <w:r w:rsidRPr="00A160B2">
              <w:rPr>
                <w:rFonts w:ascii="Arial Bold" w:hAnsi="Arial Bold"/>
                <w:b/>
                <w:sz w:val="28"/>
              </w:rPr>
              <w:t xml:space="preserve">Recommendations: </w:t>
            </w:r>
          </w:p>
          <w:p w14:paraId="4C88E4C4" w14:textId="7FEFF7C3" w:rsidR="00E86164" w:rsidRDefault="00A160B2" w:rsidP="008249BC">
            <w:pPr>
              <w:widowControl w:val="0"/>
            </w:pPr>
            <w:r>
              <w:t xml:space="preserve"> </w:t>
            </w:r>
            <w:r w:rsidR="00E86164">
              <w:t>The GARMS Committee is requested to</w:t>
            </w:r>
          </w:p>
          <w:p w14:paraId="3400F864" w14:textId="77777777" w:rsidR="00E86164" w:rsidRDefault="00E86164" w:rsidP="008249BC">
            <w:pPr>
              <w:widowControl w:val="0"/>
            </w:pPr>
          </w:p>
          <w:p w14:paraId="3ABD02DA" w14:textId="303ED9D1" w:rsidR="00E86164" w:rsidRPr="008249BC" w:rsidRDefault="00E86164" w:rsidP="008249BC">
            <w:pPr>
              <w:pStyle w:val="ListParagraph"/>
              <w:widowControl w:val="0"/>
              <w:numPr>
                <w:ilvl w:val="0"/>
                <w:numId w:val="22"/>
              </w:numPr>
              <w:rPr>
                <w:sz w:val="24"/>
                <w:szCs w:val="24"/>
              </w:rPr>
            </w:pPr>
            <w:r w:rsidRPr="008249BC">
              <w:rPr>
                <w:sz w:val="24"/>
                <w:szCs w:val="24"/>
              </w:rPr>
              <w:t>Note the Head of Internal Audit’s Final Audit Opinion 202</w:t>
            </w:r>
            <w:r w:rsidR="008D7B9F" w:rsidRPr="008249BC">
              <w:rPr>
                <w:sz w:val="24"/>
                <w:szCs w:val="24"/>
              </w:rPr>
              <w:t>1</w:t>
            </w:r>
            <w:r w:rsidRPr="008249BC">
              <w:rPr>
                <w:sz w:val="24"/>
                <w:szCs w:val="24"/>
              </w:rPr>
              <w:t>/2</w:t>
            </w:r>
            <w:r w:rsidR="008D7B9F" w:rsidRPr="008249BC">
              <w:rPr>
                <w:sz w:val="24"/>
                <w:szCs w:val="24"/>
              </w:rPr>
              <w:t>2</w:t>
            </w:r>
          </w:p>
          <w:p w14:paraId="00234243" w14:textId="77777777" w:rsidR="00E86164" w:rsidRPr="008249BC" w:rsidRDefault="00E86164" w:rsidP="008249BC">
            <w:pPr>
              <w:widowControl w:val="0"/>
              <w:rPr>
                <w:sz w:val="28"/>
                <w:szCs w:val="22"/>
              </w:rPr>
            </w:pPr>
          </w:p>
          <w:p w14:paraId="0503AE80" w14:textId="77777777" w:rsidR="004D20A9" w:rsidRDefault="00E86164" w:rsidP="008249BC">
            <w:pPr>
              <w:pStyle w:val="ListParagraph"/>
              <w:widowControl w:val="0"/>
              <w:numPr>
                <w:ilvl w:val="0"/>
                <w:numId w:val="22"/>
              </w:numPr>
              <w:tabs>
                <w:tab w:val="left" w:pos="740"/>
              </w:tabs>
              <w:rPr>
                <w:sz w:val="24"/>
                <w:szCs w:val="24"/>
              </w:rPr>
            </w:pPr>
            <w:r w:rsidRPr="008249BC">
              <w:rPr>
                <w:sz w:val="24"/>
                <w:szCs w:val="24"/>
              </w:rPr>
              <w:t>Review the Annual Governance Statement 202</w:t>
            </w:r>
            <w:r w:rsidR="008D7B9F" w:rsidRPr="008249BC">
              <w:rPr>
                <w:sz w:val="24"/>
                <w:szCs w:val="24"/>
              </w:rPr>
              <w:t>1</w:t>
            </w:r>
            <w:r w:rsidRPr="008249BC">
              <w:rPr>
                <w:sz w:val="24"/>
                <w:szCs w:val="24"/>
              </w:rPr>
              <w:t>/2</w:t>
            </w:r>
            <w:r w:rsidR="008D7B9F" w:rsidRPr="008249BC">
              <w:rPr>
                <w:sz w:val="24"/>
                <w:szCs w:val="24"/>
              </w:rPr>
              <w:t>2</w:t>
            </w:r>
            <w:r w:rsidRPr="008249BC">
              <w:rPr>
                <w:sz w:val="24"/>
                <w:szCs w:val="24"/>
              </w:rPr>
              <w:t xml:space="preserve"> in line with the Committee’s terms of reference, to consider whether the AGS properly reflects the risk environment and supporting assurances and legal and financial advice, taking into account internal audit’s opinion on the overall adequacy and effectiveness of the council’s framework of governance, risk management and control; </w:t>
            </w:r>
          </w:p>
          <w:p w14:paraId="794A2430" w14:textId="77777777" w:rsidR="004D20A9" w:rsidRPr="004D20A9" w:rsidRDefault="004D20A9" w:rsidP="004D20A9">
            <w:pPr>
              <w:pStyle w:val="ListParagraph"/>
              <w:rPr>
                <w:sz w:val="24"/>
                <w:szCs w:val="24"/>
              </w:rPr>
            </w:pPr>
          </w:p>
          <w:p w14:paraId="4417C258" w14:textId="44CBA85C" w:rsidR="009F509C" w:rsidRPr="008249BC" w:rsidRDefault="004D20A9" w:rsidP="008249BC">
            <w:pPr>
              <w:pStyle w:val="ListParagraph"/>
              <w:widowControl w:val="0"/>
              <w:numPr>
                <w:ilvl w:val="0"/>
                <w:numId w:val="22"/>
              </w:numPr>
              <w:tabs>
                <w:tab w:val="left" w:pos="740"/>
              </w:tabs>
              <w:rPr>
                <w:sz w:val="24"/>
                <w:szCs w:val="24"/>
              </w:rPr>
            </w:pPr>
            <w:r>
              <w:rPr>
                <w:sz w:val="24"/>
                <w:szCs w:val="24"/>
              </w:rPr>
              <w:t>S</w:t>
            </w:r>
            <w:r w:rsidR="00E86164" w:rsidRPr="008249BC">
              <w:rPr>
                <w:sz w:val="24"/>
                <w:szCs w:val="24"/>
              </w:rPr>
              <w:t>uggest any appropriate changes and recommend it for approval by the Leader and Chief Executive.</w:t>
            </w:r>
          </w:p>
          <w:p w14:paraId="210FC20E" w14:textId="77777777" w:rsidR="00A160B2" w:rsidRDefault="00A160B2" w:rsidP="00E86164">
            <w:pPr>
              <w:ind w:left="360"/>
            </w:pPr>
          </w:p>
          <w:p w14:paraId="714CBDEE" w14:textId="5406B9B9" w:rsidR="004D20A9" w:rsidRDefault="004D20A9" w:rsidP="00E86164">
            <w:pPr>
              <w:ind w:left="360"/>
            </w:pPr>
          </w:p>
        </w:tc>
      </w:tr>
    </w:tbl>
    <w:p w14:paraId="53DC7DE2" w14:textId="106D3022" w:rsidR="002A2389" w:rsidRDefault="002A2389" w:rsidP="00A160B2">
      <w:pPr>
        <w:pStyle w:val="Heading2"/>
      </w:pPr>
      <w:r>
        <w:t>Section 2 – Report</w:t>
      </w:r>
    </w:p>
    <w:p w14:paraId="68EB2496" w14:textId="701D372E" w:rsidR="009F509C" w:rsidRPr="009F509C" w:rsidRDefault="00D6499E" w:rsidP="009F509C">
      <w:pPr>
        <w:rPr>
          <w:b/>
          <w:bCs/>
          <w:sz w:val="28"/>
          <w:szCs w:val="28"/>
        </w:rPr>
      </w:pPr>
      <w:r>
        <w:rPr>
          <w:b/>
          <w:bCs/>
          <w:sz w:val="28"/>
          <w:szCs w:val="28"/>
        </w:rPr>
        <w:t>Head of Internal Audit’s Opinion 202</w:t>
      </w:r>
      <w:r w:rsidR="0061668E">
        <w:rPr>
          <w:b/>
          <w:bCs/>
          <w:sz w:val="28"/>
          <w:szCs w:val="28"/>
        </w:rPr>
        <w:t>1</w:t>
      </w:r>
      <w:r>
        <w:rPr>
          <w:b/>
          <w:bCs/>
          <w:sz w:val="28"/>
          <w:szCs w:val="28"/>
        </w:rPr>
        <w:t>/2</w:t>
      </w:r>
      <w:r w:rsidR="0061668E">
        <w:rPr>
          <w:b/>
          <w:bCs/>
          <w:sz w:val="28"/>
          <w:szCs w:val="28"/>
        </w:rPr>
        <w:t>2</w:t>
      </w:r>
    </w:p>
    <w:p w14:paraId="5050E640" w14:textId="4A9DFA98" w:rsidR="009F509C" w:rsidRDefault="009F509C" w:rsidP="009F509C"/>
    <w:p w14:paraId="6663A774" w14:textId="5F4A487E" w:rsidR="009F509C" w:rsidRDefault="009F509C" w:rsidP="009F509C">
      <w:pPr>
        <w:rPr>
          <w:lang w:val="en-US"/>
        </w:rPr>
      </w:pPr>
      <w:r>
        <w:rPr>
          <w:lang w:val="en-US"/>
        </w:rPr>
        <w:t>2.1</w:t>
      </w:r>
      <w:r>
        <w:rPr>
          <w:lang w:val="en-US"/>
        </w:rPr>
        <w:tab/>
      </w:r>
      <w:r w:rsidRPr="009F509C">
        <w:rPr>
          <w:lang w:val="en-US"/>
        </w:rPr>
        <w:t xml:space="preserve">The Public Sector Internal Audit Standards require the Head of Internal </w:t>
      </w:r>
      <w:r>
        <w:rPr>
          <w:lang w:val="en-US"/>
        </w:rPr>
        <w:tab/>
      </w:r>
      <w:r w:rsidRPr="009F509C">
        <w:rPr>
          <w:lang w:val="en-US"/>
        </w:rPr>
        <w:t xml:space="preserve">Audit to provide an annual opinion, based upon and limited to the work </w:t>
      </w:r>
      <w:r>
        <w:rPr>
          <w:lang w:val="en-US"/>
        </w:rPr>
        <w:tab/>
      </w:r>
      <w:r w:rsidRPr="009F509C">
        <w:rPr>
          <w:lang w:val="en-US"/>
        </w:rPr>
        <w:t xml:space="preserve">performed, on the overall adequacy and effectiveness of the </w:t>
      </w:r>
      <w:r>
        <w:rPr>
          <w:lang w:val="en-US"/>
        </w:rPr>
        <w:tab/>
      </w:r>
      <w:r w:rsidRPr="009F509C">
        <w:t>organisation’s</w:t>
      </w:r>
      <w:r w:rsidRPr="009F509C">
        <w:rPr>
          <w:lang w:val="en-US"/>
        </w:rPr>
        <w:t xml:space="preserve"> framework of governance, risk management and control </w:t>
      </w:r>
      <w:r>
        <w:rPr>
          <w:lang w:val="en-US"/>
        </w:rPr>
        <w:tab/>
      </w:r>
      <w:r w:rsidRPr="009F509C">
        <w:rPr>
          <w:lang w:val="en-US"/>
        </w:rPr>
        <w:t xml:space="preserve">(i.e. the </w:t>
      </w:r>
      <w:r w:rsidRPr="009F509C">
        <w:t>organisation’s</w:t>
      </w:r>
      <w:r w:rsidRPr="009F509C">
        <w:rPr>
          <w:lang w:val="en-US"/>
        </w:rPr>
        <w:t xml:space="preserve"> system of internal control). This is achieved </w:t>
      </w:r>
      <w:r>
        <w:rPr>
          <w:lang w:val="en-US"/>
        </w:rPr>
        <w:tab/>
      </w:r>
      <w:r w:rsidRPr="009F509C">
        <w:rPr>
          <w:lang w:val="en-US"/>
        </w:rPr>
        <w:t xml:space="preserve">through a risk-based plan of work, agreed with management </w:t>
      </w:r>
      <w:r>
        <w:rPr>
          <w:lang w:val="en-US"/>
        </w:rPr>
        <w:tab/>
      </w:r>
      <w:r w:rsidRPr="009F509C">
        <w:rPr>
          <w:lang w:val="en-US"/>
        </w:rPr>
        <w:t xml:space="preserve">(Corporate Strategic Board) and approved by the Governance, Audit, </w:t>
      </w:r>
      <w:r>
        <w:rPr>
          <w:lang w:val="en-US"/>
        </w:rPr>
        <w:tab/>
      </w:r>
      <w:r w:rsidRPr="009F509C">
        <w:rPr>
          <w:lang w:val="en-US"/>
        </w:rPr>
        <w:t xml:space="preserve">Risk Management &amp; Standards Committee (Harrow Council’s Audit </w:t>
      </w:r>
      <w:r>
        <w:rPr>
          <w:lang w:val="en-US"/>
        </w:rPr>
        <w:tab/>
      </w:r>
      <w:r w:rsidRPr="009F509C">
        <w:rPr>
          <w:lang w:val="en-US"/>
        </w:rPr>
        <w:t xml:space="preserve">Committee), designed to provide a reasonable level of assurance, </w:t>
      </w:r>
      <w:r>
        <w:rPr>
          <w:lang w:val="en-US"/>
        </w:rPr>
        <w:tab/>
      </w:r>
      <w:r w:rsidRPr="009F509C">
        <w:rPr>
          <w:lang w:val="en-US"/>
        </w:rPr>
        <w:t xml:space="preserve">subject to the inherent limitations described below and set out in </w:t>
      </w:r>
      <w:r>
        <w:rPr>
          <w:lang w:val="en-US"/>
        </w:rPr>
        <w:tab/>
      </w:r>
      <w:r w:rsidRPr="009F509C">
        <w:rPr>
          <w:lang w:val="en-US"/>
        </w:rPr>
        <w:t xml:space="preserve">Appendix 1. The opinion does not imply that Internal Audit has </w:t>
      </w:r>
      <w:r>
        <w:rPr>
          <w:lang w:val="en-US"/>
        </w:rPr>
        <w:tab/>
      </w:r>
      <w:r w:rsidRPr="009F509C">
        <w:rPr>
          <w:lang w:val="en-US"/>
        </w:rPr>
        <w:t xml:space="preserve">reviewed all risks relating to the </w:t>
      </w:r>
      <w:r w:rsidRPr="009F509C">
        <w:t>organisation</w:t>
      </w:r>
      <w:r w:rsidRPr="009F509C">
        <w:rPr>
          <w:lang w:val="en-US"/>
        </w:rPr>
        <w:t>.</w:t>
      </w:r>
    </w:p>
    <w:p w14:paraId="3FCBE9D5" w14:textId="0CD664FA" w:rsidR="009F509C" w:rsidRDefault="009F509C" w:rsidP="009F509C">
      <w:pPr>
        <w:rPr>
          <w:lang w:val="en-US"/>
        </w:rPr>
      </w:pPr>
    </w:p>
    <w:p w14:paraId="24A96AAC" w14:textId="33AFFD86" w:rsidR="00696C79" w:rsidRPr="00696C79" w:rsidRDefault="009F509C" w:rsidP="0061668E">
      <w:r>
        <w:rPr>
          <w:lang w:val="en-US"/>
        </w:rPr>
        <w:t>2.2</w:t>
      </w:r>
      <w:r>
        <w:rPr>
          <w:lang w:val="en-US"/>
        </w:rPr>
        <w:tab/>
      </w:r>
      <w:r w:rsidR="0061668E">
        <w:rPr>
          <w:lang w:val="en-US"/>
        </w:rPr>
        <w:t xml:space="preserve">The 2021/22 Head of Internal Audit’s Opinion for 2021/22 is qualified </w:t>
      </w:r>
      <w:r w:rsidR="0061668E">
        <w:rPr>
          <w:lang w:val="en-US"/>
        </w:rPr>
        <w:tab/>
        <w:t xml:space="preserve">given the significantly reduced level of internal audit work performed </w:t>
      </w:r>
      <w:r w:rsidR="0061668E">
        <w:rPr>
          <w:lang w:val="en-US"/>
        </w:rPr>
        <w:tab/>
        <w:t xml:space="preserve">during 2021/22 due to the considerable amount of work undertaken on </w:t>
      </w:r>
      <w:r w:rsidR="0061668E">
        <w:rPr>
          <w:lang w:val="en-US"/>
        </w:rPr>
        <w:tab/>
        <w:t xml:space="preserve">the significant governance gap identified in the 2020/21 Annual </w:t>
      </w:r>
      <w:r w:rsidR="0061668E">
        <w:rPr>
          <w:lang w:val="en-US"/>
        </w:rPr>
        <w:tab/>
        <w:t>Governance Statement.</w:t>
      </w:r>
    </w:p>
    <w:p w14:paraId="698C3A79" w14:textId="650D3C7F" w:rsidR="00696C79" w:rsidRDefault="00696C79" w:rsidP="009F509C"/>
    <w:p w14:paraId="526F06F0" w14:textId="19D9A4E9" w:rsidR="00D6499E" w:rsidRPr="00D6499E" w:rsidRDefault="00D6499E" w:rsidP="0061668E">
      <w:r>
        <w:t>2.</w:t>
      </w:r>
      <w:r w:rsidR="0061668E">
        <w:t>3</w:t>
      </w:r>
      <w:r>
        <w:tab/>
      </w:r>
      <w:r w:rsidR="0061668E" w:rsidRPr="0061668E">
        <w:t xml:space="preserve">The Head of Internal Audit’s overall opinion on the adequacy and </w:t>
      </w:r>
      <w:r w:rsidR="0061668E">
        <w:tab/>
      </w:r>
      <w:r w:rsidR="0061668E" w:rsidRPr="0061668E">
        <w:t xml:space="preserve">effectiveness of the organisation’s framework of governance, risk </w:t>
      </w:r>
      <w:r w:rsidR="0061668E">
        <w:tab/>
      </w:r>
      <w:r w:rsidR="0061668E" w:rsidRPr="0061668E">
        <w:t xml:space="preserve">management and control based on the annual review of governance </w:t>
      </w:r>
      <w:r w:rsidR="0061668E">
        <w:tab/>
      </w:r>
      <w:r w:rsidR="0061668E" w:rsidRPr="0061668E">
        <w:t xml:space="preserve">and the assurance work of Internal Audit throughout 2021/22 is: </w:t>
      </w:r>
      <w:r w:rsidR="0061668E" w:rsidRPr="0061668E">
        <w:rPr>
          <w:b/>
          <w:bCs/>
        </w:rPr>
        <w:t xml:space="preserve">Good </w:t>
      </w:r>
      <w:r w:rsidR="0061668E" w:rsidRPr="0061668E">
        <w:rPr>
          <w:b/>
          <w:bCs/>
        </w:rPr>
        <w:tab/>
        <w:t xml:space="preserve">with some significant improvements required in a few areas. </w:t>
      </w:r>
      <w:r w:rsidR="0061668E" w:rsidRPr="0061668E">
        <w:t xml:space="preserve"> This </w:t>
      </w:r>
      <w:r w:rsidR="0061668E">
        <w:tab/>
      </w:r>
      <w:r w:rsidR="0061668E" w:rsidRPr="0061668E">
        <w:t xml:space="preserve">is a qualified opinion based on fewer reviews undertaken than in a </w:t>
      </w:r>
      <w:r w:rsidR="0061668E">
        <w:lastRenderedPageBreak/>
        <w:tab/>
      </w:r>
      <w:r w:rsidR="0061668E" w:rsidRPr="0061668E">
        <w:t xml:space="preserve">typical year due to the considerable amount of work required on the </w:t>
      </w:r>
      <w:r w:rsidR="0061668E">
        <w:tab/>
      </w:r>
      <w:r w:rsidR="0061668E" w:rsidRPr="0061668E">
        <w:t xml:space="preserve">significant governance gap during 2021/22. Review of the operation of </w:t>
      </w:r>
      <w:r w:rsidR="0061668E">
        <w:tab/>
      </w:r>
      <w:r w:rsidR="0061668E" w:rsidRPr="0061668E">
        <w:t xml:space="preserve">Council’s core financial systems, Housing Benefits, Treasury </w:t>
      </w:r>
      <w:r w:rsidR="0061668E">
        <w:tab/>
      </w:r>
      <w:r w:rsidR="0061668E" w:rsidRPr="0061668E">
        <w:t xml:space="preserve">Management, Housing Rents, Business Rates, Capital Expenditure, </w:t>
      </w:r>
      <w:r w:rsidR="0061668E">
        <w:tab/>
      </w:r>
      <w:r w:rsidR="0061668E" w:rsidRPr="0061668E">
        <w:t xml:space="preserve">Corporate Accounts Receivable, Corporate Accounts Payable , Payroll </w:t>
      </w:r>
      <w:r w:rsidR="0061668E">
        <w:tab/>
      </w:r>
      <w:r w:rsidR="0061668E" w:rsidRPr="0061668E">
        <w:t xml:space="preserve">and Council Tax during 2021/22 demonstrated a sound level of control </w:t>
      </w:r>
      <w:r w:rsidR="0061668E">
        <w:tab/>
      </w:r>
      <w:r w:rsidR="0061668E" w:rsidRPr="0061668E">
        <w:t xml:space="preserve">in place with 7 receiving a green assurance rating and 2 an </w:t>
      </w:r>
      <w:r w:rsidR="0061668E">
        <w:tab/>
      </w:r>
      <w:r w:rsidR="0061668E" w:rsidRPr="0061668E">
        <w:t xml:space="preserve">amber/green </w:t>
      </w:r>
      <w:r w:rsidR="0061668E">
        <w:tab/>
      </w:r>
      <w:r w:rsidR="0061668E" w:rsidRPr="0061668E">
        <w:t xml:space="preserve">assurance, a slight overall improvement from 2020/21. </w:t>
      </w:r>
      <w:r w:rsidR="0061668E">
        <w:tab/>
      </w:r>
      <w:r w:rsidR="0061668E" w:rsidRPr="0061668E">
        <w:t xml:space="preserve">One red assurance report, relating to the significant governance gap </w:t>
      </w:r>
      <w:r w:rsidR="0061668E">
        <w:tab/>
      </w:r>
      <w:r w:rsidR="0061668E" w:rsidRPr="0061668E">
        <w:t xml:space="preserve">and two red/amber assurance reports relating to schools were issued </w:t>
      </w:r>
      <w:r w:rsidR="0061668E">
        <w:tab/>
      </w:r>
      <w:r w:rsidR="0061668E" w:rsidRPr="0061668E">
        <w:t xml:space="preserve">during the year. All recommendations made to improve control were </w:t>
      </w:r>
      <w:r w:rsidR="0061668E">
        <w:tab/>
      </w:r>
      <w:r w:rsidR="0061668E" w:rsidRPr="0061668E">
        <w:t xml:space="preserve">agreed by management. </w:t>
      </w:r>
    </w:p>
    <w:p w14:paraId="0E6F8BAC" w14:textId="086A0D57" w:rsidR="00D6499E" w:rsidRDefault="00D6499E" w:rsidP="009F509C"/>
    <w:p w14:paraId="441D9EBD" w14:textId="77777777" w:rsidR="002306D2" w:rsidRDefault="00696200" w:rsidP="009F509C">
      <w:pPr>
        <w:rPr>
          <w:b/>
          <w:bCs/>
          <w:sz w:val="28"/>
          <w:szCs w:val="28"/>
        </w:rPr>
      </w:pPr>
      <w:r w:rsidRPr="00696200">
        <w:rPr>
          <w:b/>
          <w:bCs/>
          <w:sz w:val="28"/>
          <w:szCs w:val="28"/>
        </w:rPr>
        <w:t xml:space="preserve">Annual Governance Statement </w:t>
      </w:r>
    </w:p>
    <w:p w14:paraId="39A052E9" w14:textId="5B9A28D7" w:rsidR="009F509C" w:rsidRPr="002306D2" w:rsidRDefault="002306D2" w:rsidP="009F509C">
      <w:pPr>
        <w:rPr>
          <w:b/>
          <w:bCs/>
        </w:rPr>
      </w:pPr>
      <w:r w:rsidRPr="002306D2">
        <w:rPr>
          <w:b/>
          <w:bCs/>
        </w:rPr>
        <w:t>Background</w:t>
      </w:r>
    </w:p>
    <w:p w14:paraId="52E28EE2" w14:textId="77777777" w:rsidR="002306D2" w:rsidRDefault="002306D2" w:rsidP="009F509C"/>
    <w:p w14:paraId="5D71ABE8" w14:textId="5824624C" w:rsidR="009F509C" w:rsidRDefault="00696200" w:rsidP="009F509C">
      <w:r>
        <w:t>2.</w:t>
      </w:r>
      <w:r w:rsidR="006E4960">
        <w:t>4</w:t>
      </w:r>
      <w:r>
        <w:tab/>
      </w:r>
      <w:r w:rsidR="002306D2" w:rsidRPr="002306D2">
        <w:t xml:space="preserve">Harrow Council is responsible for ensuring that its business is </w:t>
      </w:r>
      <w:r w:rsidR="002306D2">
        <w:tab/>
      </w:r>
      <w:r w:rsidR="002306D2" w:rsidRPr="002306D2">
        <w:t xml:space="preserve">conducted in accordance with the law and proper standards, and that </w:t>
      </w:r>
      <w:r w:rsidR="002306D2">
        <w:tab/>
      </w:r>
      <w:r w:rsidR="002306D2" w:rsidRPr="002306D2">
        <w:t xml:space="preserve">public money is safeguarded and properly accounted for, and used </w:t>
      </w:r>
      <w:r w:rsidR="002306D2">
        <w:tab/>
      </w:r>
      <w:r w:rsidR="002306D2" w:rsidRPr="002306D2">
        <w:t xml:space="preserve">economically, efficiently and effectively. The Council also has a duty </w:t>
      </w:r>
      <w:r w:rsidR="002306D2">
        <w:tab/>
      </w:r>
      <w:r w:rsidR="002306D2" w:rsidRPr="002306D2">
        <w:t xml:space="preserve">under section 3 of the Local Government Act 1999 to make </w:t>
      </w:r>
      <w:r w:rsidR="002306D2">
        <w:tab/>
      </w:r>
      <w:r w:rsidR="002306D2" w:rsidRPr="002306D2">
        <w:t xml:space="preserve">arrangements to secure continuous improvement in the way in which </w:t>
      </w:r>
      <w:r w:rsidR="0054321A">
        <w:tab/>
      </w:r>
      <w:r w:rsidR="002306D2" w:rsidRPr="002306D2">
        <w:t xml:space="preserve">its functions are exercised, having regard to a combination of economy, </w:t>
      </w:r>
      <w:r w:rsidR="0054321A">
        <w:tab/>
      </w:r>
      <w:r w:rsidR="002306D2" w:rsidRPr="002306D2">
        <w:t>efficiency and effectiveness</w:t>
      </w:r>
      <w:r w:rsidR="0054321A">
        <w:t>.</w:t>
      </w:r>
    </w:p>
    <w:p w14:paraId="42172E76" w14:textId="0E5E35F1" w:rsidR="0054321A" w:rsidRDefault="0054321A" w:rsidP="009F509C"/>
    <w:p w14:paraId="462999A5" w14:textId="3D6ECB39" w:rsidR="0054321A" w:rsidRPr="0054321A" w:rsidRDefault="0054321A" w:rsidP="0054321A">
      <w:r>
        <w:t>2.</w:t>
      </w:r>
      <w:r w:rsidR="006E4960">
        <w:t>5</w:t>
      </w:r>
      <w:r>
        <w:tab/>
      </w:r>
      <w:r w:rsidRPr="0054321A">
        <w:t xml:space="preserve">In discharging this overall responsibility, the Council is responsible for </w:t>
      </w:r>
      <w:r>
        <w:tab/>
      </w:r>
      <w:r w:rsidRPr="0054321A">
        <w:t xml:space="preserve">putting in place proper arrangements for the governance of its affairs, </w:t>
      </w:r>
      <w:r>
        <w:tab/>
      </w:r>
      <w:r w:rsidRPr="0054321A">
        <w:t xml:space="preserve">facilitating the effective exercise of its functions, which includes </w:t>
      </w:r>
      <w:r>
        <w:tab/>
      </w:r>
      <w:r w:rsidRPr="0054321A">
        <w:t>arrangements for the management of risk.</w:t>
      </w:r>
    </w:p>
    <w:p w14:paraId="44F825EF" w14:textId="77777777" w:rsidR="0054321A" w:rsidRPr="0054321A" w:rsidRDefault="0054321A" w:rsidP="0054321A">
      <w:pPr>
        <w:rPr>
          <w:bCs/>
        </w:rPr>
      </w:pPr>
    </w:p>
    <w:p w14:paraId="7ED4173D" w14:textId="19F216AD" w:rsidR="0054321A" w:rsidRPr="0054321A" w:rsidRDefault="0054321A" w:rsidP="0054321A">
      <w:r w:rsidRPr="0054321A">
        <w:rPr>
          <w:iCs/>
        </w:rPr>
        <w:t>2.</w:t>
      </w:r>
      <w:r w:rsidR="006E4960">
        <w:rPr>
          <w:iCs/>
        </w:rPr>
        <w:t>6</w:t>
      </w:r>
      <w:r w:rsidRPr="0054321A">
        <w:rPr>
          <w:iCs/>
        </w:rPr>
        <w:tab/>
        <w:t xml:space="preserve">Regulation 6(1)(a) of the Accounts and Audit Regulations 2015 </w:t>
      </w:r>
      <w:r>
        <w:rPr>
          <w:iCs/>
        </w:rPr>
        <w:tab/>
      </w:r>
      <w:r w:rsidRPr="0054321A">
        <w:rPr>
          <w:iCs/>
        </w:rPr>
        <w:t>requires</w:t>
      </w:r>
      <w:r w:rsidRPr="0054321A">
        <w:rPr>
          <w:i/>
          <w:iCs/>
        </w:rPr>
        <w:t xml:space="preserve"> ‘an authority to conduct a review at least once in a year of the </w:t>
      </w:r>
      <w:r>
        <w:rPr>
          <w:i/>
          <w:iCs/>
        </w:rPr>
        <w:tab/>
      </w:r>
      <w:r w:rsidRPr="0054321A">
        <w:rPr>
          <w:i/>
          <w:iCs/>
        </w:rPr>
        <w:t xml:space="preserve">effectiveness of its system of internal control and include a statement </w:t>
      </w:r>
      <w:r>
        <w:rPr>
          <w:i/>
          <w:iCs/>
        </w:rPr>
        <w:tab/>
      </w:r>
      <w:r w:rsidRPr="0054321A">
        <w:rPr>
          <w:i/>
          <w:iCs/>
        </w:rPr>
        <w:t xml:space="preserve">reporting on the review with any published Statement of Accounts </w:t>
      </w:r>
      <w:r>
        <w:rPr>
          <w:i/>
          <w:iCs/>
        </w:rPr>
        <w:tab/>
      </w:r>
      <w:r w:rsidRPr="0054321A">
        <w:rPr>
          <w:i/>
          <w:iCs/>
        </w:rPr>
        <w:t xml:space="preserve">(England)’. </w:t>
      </w:r>
    </w:p>
    <w:p w14:paraId="298C8210" w14:textId="77777777" w:rsidR="0054321A" w:rsidRPr="0054321A" w:rsidRDefault="0054321A" w:rsidP="0054321A">
      <w:pPr>
        <w:rPr>
          <w:i/>
          <w:iCs/>
        </w:rPr>
      </w:pPr>
    </w:p>
    <w:p w14:paraId="0E665FE1" w14:textId="368BEF53" w:rsidR="0054321A" w:rsidRPr="0054321A" w:rsidRDefault="0054321A" w:rsidP="0054321A">
      <w:r w:rsidRPr="0054321A">
        <w:rPr>
          <w:iCs/>
        </w:rPr>
        <w:t>2.</w:t>
      </w:r>
      <w:r w:rsidR="006E4960">
        <w:rPr>
          <w:iCs/>
        </w:rPr>
        <w:t>7</w:t>
      </w:r>
      <w:r w:rsidRPr="0054321A">
        <w:rPr>
          <w:iCs/>
        </w:rPr>
        <w:tab/>
        <w:t xml:space="preserve">Regulation 6(1)(b) of the Accounts and Audit Regulations 2015, </w:t>
      </w:r>
      <w:r>
        <w:rPr>
          <w:iCs/>
        </w:rPr>
        <w:tab/>
      </w:r>
      <w:r w:rsidRPr="0054321A">
        <w:rPr>
          <w:iCs/>
        </w:rPr>
        <w:t>requires that</w:t>
      </w:r>
      <w:r w:rsidRPr="0054321A">
        <w:rPr>
          <w:i/>
          <w:iCs/>
        </w:rPr>
        <w:t xml:space="preserve"> “for a local authority in England, the statement is an </w:t>
      </w:r>
      <w:r>
        <w:rPr>
          <w:i/>
          <w:iCs/>
        </w:rPr>
        <w:tab/>
      </w:r>
      <w:r w:rsidRPr="0054321A">
        <w:rPr>
          <w:i/>
          <w:iCs/>
        </w:rPr>
        <w:t xml:space="preserve">Annual Governance Statement”. </w:t>
      </w:r>
    </w:p>
    <w:p w14:paraId="0878F9D5" w14:textId="77777777" w:rsidR="0054321A" w:rsidRPr="0054321A" w:rsidRDefault="0054321A" w:rsidP="0054321A">
      <w:pPr>
        <w:rPr>
          <w:i/>
          <w:iCs/>
        </w:rPr>
      </w:pPr>
    </w:p>
    <w:p w14:paraId="2415119C" w14:textId="12142A10" w:rsidR="0054321A" w:rsidRPr="0054321A" w:rsidRDefault="0054321A" w:rsidP="0054321A">
      <w:r w:rsidRPr="0054321A">
        <w:rPr>
          <w:iCs/>
        </w:rPr>
        <w:t>2.</w:t>
      </w:r>
      <w:r w:rsidR="006E4960">
        <w:rPr>
          <w:iCs/>
        </w:rPr>
        <w:t>8</w:t>
      </w:r>
      <w:r>
        <w:rPr>
          <w:iCs/>
        </w:rPr>
        <w:tab/>
      </w:r>
      <w:r w:rsidRPr="0054321A">
        <w:t xml:space="preserve">The CIPFA/SOLACE Framework </w:t>
      </w:r>
      <w:r w:rsidRPr="0054321A">
        <w:rPr>
          <w:i/>
        </w:rPr>
        <w:t xml:space="preserve">Delivering Good Governance in Local </w:t>
      </w:r>
      <w:r>
        <w:rPr>
          <w:i/>
        </w:rPr>
        <w:tab/>
      </w:r>
      <w:r w:rsidRPr="0054321A">
        <w:rPr>
          <w:i/>
        </w:rPr>
        <w:t xml:space="preserve">Government </w:t>
      </w:r>
      <w:r w:rsidRPr="0054321A">
        <w:t xml:space="preserve">was updated in 2016 and this Framework applies to </w:t>
      </w:r>
      <w:r>
        <w:tab/>
      </w:r>
      <w:r w:rsidRPr="0054321A">
        <w:t xml:space="preserve">annual governance statements prepared for the financial year 2016/17 </w:t>
      </w:r>
      <w:r>
        <w:tab/>
      </w:r>
      <w:r w:rsidRPr="0054321A">
        <w:t xml:space="preserve">onwards. The overall aim of the Framework </w:t>
      </w:r>
      <w:r w:rsidRPr="0054321A">
        <w:rPr>
          <w:i/>
        </w:rPr>
        <w:t xml:space="preserve">‘is to ensure that resources </w:t>
      </w:r>
      <w:r>
        <w:rPr>
          <w:i/>
        </w:rPr>
        <w:tab/>
      </w:r>
      <w:r w:rsidRPr="0054321A">
        <w:rPr>
          <w:i/>
        </w:rPr>
        <w:t xml:space="preserve">are directed in accordance with agreed policy and according to </w:t>
      </w:r>
      <w:r>
        <w:rPr>
          <w:i/>
        </w:rPr>
        <w:tab/>
      </w:r>
      <w:r w:rsidRPr="0054321A">
        <w:rPr>
          <w:i/>
        </w:rPr>
        <w:t xml:space="preserve">priorities, that there is sound and inclusive decision making and that </w:t>
      </w:r>
      <w:r>
        <w:rPr>
          <w:i/>
        </w:rPr>
        <w:tab/>
      </w:r>
      <w:r w:rsidRPr="0054321A">
        <w:rPr>
          <w:i/>
        </w:rPr>
        <w:t xml:space="preserve">there is clear accountability for the use of those resources in order to </w:t>
      </w:r>
      <w:r>
        <w:rPr>
          <w:i/>
        </w:rPr>
        <w:tab/>
      </w:r>
      <w:r w:rsidRPr="0054321A">
        <w:rPr>
          <w:i/>
        </w:rPr>
        <w:t xml:space="preserve">achieve desired outcomes for service users and communities’. </w:t>
      </w:r>
    </w:p>
    <w:p w14:paraId="57514E1C" w14:textId="77777777" w:rsidR="0054321A" w:rsidRPr="0054321A" w:rsidRDefault="0054321A" w:rsidP="0054321A">
      <w:pPr>
        <w:rPr>
          <w:i/>
          <w:iCs/>
        </w:rPr>
      </w:pPr>
    </w:p>
    <w:p w14:paraId="652E6A1A" w14:textId="2C5799AD" w:rsidR="0054321A" w:rsidRPr="0054321A" w:rsidRDefault="0054321A" w:rsidP="0054321A">
      <w:r w:rsidRPr="0054321A">
        <w:rPr>
          <w:iCs/>
        </w:rPr>
        <w:t>2.</w:t>
      </w:r>
      <w:r w:rsidR="006E4960">
        <w:rPr>
          <w:iCs/>
        </w:rPr>
        <w:t>9</w:t>
      </w:r>
      <w:r w:rsidRPr="0054321A">
        <w:rPr>
          <w:iCs/>
        </w:rPr>
        <w:tab/>
        <w:t xml:space="preserve">In England the Accounts and Audit Regulations 2015 stipulate that the </w:t>
      </w:r>
      <w:r>
        <w:rPr>
          <w:iCs/>
        </w:rPr>
        <w:tab/>
      </w:r>
      <w:r w:rsidRPr="0054321A">
        <w:rPr>
          <w:iCs/>
        </w:rPr>
        <w:t xml:space="preserve">Annual Governance Statement must be </w:t>
      </w:r>
      <w:r w:rsidRPr="0054321A">
        <w:rPr>
          <w:i/>
          <w:iCs/>
        </w:rPr>
        <w:t xml:space="preserve">“prepared in accordance with </w:t>
      </w:r>
      <w:r>
        <w:rPr>
          <w:i/>
          <w:iCs/>
        </w:rPr>
        <w:tab/>
      </w:r>
      <w:r w:rsidRPr="0054321A">
        <w:rPr>
          <w:i/>
          <w:iCs/>
        </w:rPr>
        <w:t>proper practices in relation to accounts”</w:t>
      </w:r>
      <w:r w:rsidRPr="0054321A">
        <w:t xml:space="preserve"> and must be “</w:t>
      </w:r>
      <w:r w:rsidRPr="0054321A">
        <w:rPr>
          <w:i/>
          <w:iCs/>
        </w:rPr>
        <w:t xml:space="preserve">approved in </w:t>
      </w:r>
      <w:r>
        <w:rPr>
          <w:i/>
          <w:iCs/>
        </w:rPr>
        <w:tab/>
      </w:r>
      <w:r w:rsidRPr="0054321A">
        <w:rPr>
          <w:i/>
          <w:iCs/>
        </w:rPr>
        <w:t xml:space="preserve">advance of the relevant authority approving the statement of accounts. </w:t>
      </w:r>
      <w:r>
        <w:rPr>
          <w:i/>
          <w:iCs/>
        </w:rPr>
        <w:lastRenderedPageBreak/>
        <w:tab/>
      </w:r>
      <w:r w:rsidRPr="0054321A">
        <w:rPr>
          <w:i/>
          <w:iCs/>
        </w:rPr>
        <w:t xml:space="preserve">Therefore a local authority in England shall provide this statement in </w:t>
      </w:r>
      <w:r>
        <w:rPr>
          <w:i/>
          <w:iCs/>
        </w:rPr>
        <w:tab/>
      </w:r>
      <w:r w:rsidRPr="0054321A">
        <w:rPr>
          <w:i/>
          <w:iCs/>
        </w:rPr>
        <w:t xml:space="preserve">accordance with Delivering Good Governance in Local Government: </w:t>
      </w:r>
      <w:r>
        <w:rPr>
          <w:i/>
          <w:iCs/>
        </w:rPr>
        <w:tab/>
      </w:r>
      <w:r w:rsidRPr="0054321A">
        <w:rPr>
          <w:i/>
          <w:iCs/>
        </w:rPr>
        <w:t>Framework (2016) and this section of the Code”.</w:t>
      </w:r>
    </w:p>
    <w:p w14:paraId="40A950CB" w14:textId="77777777" w:rsidR="0054321A" w:rsidRPr="0054321A" w:rsidRDefault="0054321A" w:rsidP="0054321A"/>
    <w:p w14:paraId="3A8D646C" w14:textId="5B5D97A1" w:rsidR="0054321A" w:rsidRDefault="0054321A" w:rsidP="0054321A">
      <w:pPr>
        <w:rPr>
          <w:i/>
        </w:rPr>
      </w:pPr>
      <w:r w:rsidRPr="0054321A">
        <w:t>2.</w:t>
      </w:r>
      <w:r>
        <w:t>1</w:t>
      </w:r>
      <w:r w:rsidR="006E4960">
        <w:t>0</w:t>
      </w:r>
      <w:r w:rsidRPr="0054321A">
        <w:tab/>
      </w:r>
      <w:r w:rsidRPr="0054321A">
        <w:rPr>
          <w:iCs/>
        </w:rPr>
        <w:t xml:space="preserve">The preparation and publication of an Annual Governance Statement in </w:t>
      </w:r>
      <w:r>
        <w:rPr>
          <w:iCs/>
        </w:rPr>
        <w:tab/>
      </w:r>
      <w:r w:rsidRPr="0054321A">
        <w:rPr>
          <w:iCs/>
        </w:rPr>
        <w:t xml:space="preserve">accordance with Delivering Good Governance in Local Government: </w:t>
      </w:r>
      <w:r>
        <w:rPr>
          <w:iCs/>
        </w:rPr>
        <w:tab/>
      </w:r>
      <w:r w:rsidRPr="0054321A">
        <w:rPr>
          <w:iCs/>
        </w:rPr>
        <w:t xml:space="preserve">Framework (2016) would fulfil the statutory requirements across the </w:t>
      </w:r>
      <w:r>
        <w:rPr>
          <w:iCs/>
        </w:rPr>
        <w:tab/>
      </w:r>
      <w:r w:rsidRPr="0054321A">
        <w:rPr>
          <w:iCs/>
        </w:rPr>
        <w:t xml:space="preserve">United Kingdom for a local authority to conduct a review at least once </w:t>
      </w:r>
      <w:r>
        <w:rPr>
          <w:iCs/>
        </w:rPr>
        <w:tab/>
      </w:r>
      <w:r w:rsidRPr="0054321A">
        <w:rPr>
          <w:iCs/>
        </w:rPr>
        <w:t xml:space="preserve">in each financial year of the effectiveness of its system of internal </w:t>
      </w:r>
      <w:r>
        <w:rPr>
          <w:iCs/>
        </w:rPr>
        <w:tab/>
      </w:r>
      <w:r w:rsidRPr="0054321A">
        <w:rPr>
          <w:iCs/>
        </w:rPr>
        <w:t xml:space="preserve">control and to include a statement reporting on the review with its </w:t>
      </w:r>
      <w:r>
        <w:rPr>
          <w:iCs/>
        </w:rPr>
        <w:tab/>
      </w:r>
      <w:r w:rsidRPr="0054321A">
        <w:rPr>
          <w:iCs/>
        </w:rPr>
        <w:t xml:space="preserve">Statement of Accounts. </w:t>
      </w:r>
      <w:r w:rsidRPr="0054321A">
        <w:rPr>
          <w:i/>
        </w:rPr>
        <w:t xml:space="preserve"> </w:t>
      </w:r>
    </w:p>
    <w:p w14:paraId="7D25A1B2" w14:textId="77777777" w:rsidR="0054321A" w:rsidRDefault="0054321A" w:rsidP="0054321A">
      <w:pPr>
        <w:rPr>
          <w:iCs/>
        </w:rPr>
      </w:pPr>
    </w:p>
    <w:p w14:paraId="5698F2E1" w14:textId="733BC1F1" w:rsidR="0054321A" w:rsidRPr="0054321A" w:rsidRDefault="0054321A" w:rsidP="0054321A">
      <w:pPr>
        <w:rPr>
          <w:iCs/>
        </w:rPr>
      </w:pPr>
      <w:r>
        <w:rPr>
          <w:iCs/>
        </w:rPr>
        <w:t>2.1</w:t>
      </w:r>
      <w:r w:rsidR="006E4960">
        <w:rPr>
          <w:iCs/>
        </w:rPr>
        <w:t>1</w:t>
      </w:r>
      <w:r>
        <w:rPr>
          <w:iCs/>
        </w:rPr>
        <w:tab/>
      </w:r>
      <w:r w:rsidRPr="0054321A">
        <w:rPr>
          <w:iCs/>
        </w:rPr>
        <w:t xml:space="preserve">The Annual Governance Statement explains how the Council has </w:t>
      </w:r>
      <w:r>
        <w:rPr>
          <w:iCs/>
        </w:rPr>
        <w:tab/>
      </w:r>
      <w:r w:rsidRPr="0054321A">
        <w:rPr>
          <w:iCs/>
        </w:rPr>
        <w:t xml:space="preserve">complied with the framework and meets the requirements of regulation </w:t>
      </w:r>
      <w:r>
        <w:rPr>
          <w:iCs/>
        </w:rPr>
        <w:tab/>
      </w:r>
      <w:r w:rsidRPr="0054321A">
        <w:rPr>
          <w:iCs/>
        </w:rPr>
        <w:t xml:space="preserve">6 of the Accounts and Audit Regulations 2015 in relation to the </w:t>
      </w:r>
      <w:r>
        <w:rPr>
          <w:iCs/>
        </w:rPr>
        <w:tab/>
      </w:r>
      <w:r w:rsidRPr="0054321A">
        <w:rPr>
          <w:iCs/>
        </w:rPr>
        <w:t xml:space="preserve">publication of a statement of internal control (Annual Governance </w:t>
      </w:r>
      <w:r>
        <w:rPr>
          <w:iCs/>
        </w:rPr>
        <w:tab/>
      </w:r>
      <w:r w:rsidRPr="0054321A">
        <w:rPr>
          <w:iCs/>
        </w:rPr>
        <w:t>Statement).</w:t>
      </w:r>
    </w:p>
    <w:p w14:paraId="4F48268E" w14:textId="3ACCB1B0" w:rsidR="0054321A" w:rsidRDefault="0054321A" w:rsidP="009F509C"/>
    <w:p w14:paraId="59C97EAF" w14:textId="36AD5713" w:rsidR="0054321A" w:rsidRDefault="0054321A" w:rsidP="009F509C">
      <w:pPr>
        <w:rPr>
          <w:b/>
          <w:bCs/>
        </w:rPr>
      </w:pPr>
      <w:r w:rsidRPr="0054321A">
        <w:rPr>
          <w:b/>
          <w:bCs/>
        </w:rPr>
        <w:t>Annual Governance Review</w:t>
      </w:r>
    </w:p>
    <w:p w14:paraId="32F254F0" w14:textId="15B13748" w:rsidR="0054321A" w:rsidRDefault="0054321A" w:rsidP="009F509C">
      <w:pPr>
        <w:rPr>
          <w:b/>
          <w:bCs/>
        </w:rPr>
      </w:pPr>
    </w:p>
    <w:p w14:paraId="4AA2928F" w14:textId="76D7F05F" w:rsidR="0054321A" w:rsidRDefault="0054321A" w:rsidP="009F509C">
      <w:r>
        <w:t>2.1</w:t>
      </w:r>
      <w:r w:rsidR="006E4960">
        <w:t>2</w:t>
      </w:r>
      <w:r>
        <w:tab/>
        <w:t>Since 2005/06</w:t>
      </w:r>
      <w:r w:rsidRPr="0054321A">
        <w:t xml:space="preserve"> the Council </w:t>
      </w:r>
      <w:r>
        <w:t xml:space="preserve">has </w:t>
      </w:r>
      <w:r w:rsidRPr="0054321A">
        <w:t>undertake</w:t>
      </w:r>
      <w:r>
        <w:t>n a</w:t>
      </w:r>
      <w:r w:rsidR="000413B9">
        <w:t>n evidence based self-</w:t>
      </w:r>
      <w:r w:rsidR="000413B9">
        <w:tab/>
        <w:t xml:space="preserve">assessment </w:t>
      </w:r>
      <w:r>
        <w:t xml:space="preserve">annual </w:t>
      </w:r>
      <w:r w:rsidRPr="0054321A">
        <w:t>review of</w:t>
      </w:r>
      <w:r w:rsidR="000413B9">
        <w:t xml:space="preserve"> </w:t>
      </w:r>
      <w:r w:rsidRPr="0054321A">
        <w:t>its governance</w:t>
      </w:r>
      <w:r w:rsidR="002559D9">
        <w:t xml:space="preserve"> </w:t>
      </w:r>
      <w:r w:rsidRPr="0054321A">
        <w:t xml:space="preserve">arrangements to meet the </w:t>
      </w:r>
      <w:r w:rsidR="000413B9">
        <w:tab/>
      </w:r>
      <w:r w:rsidRPr="0054321A">
        <w:t xml:space="preserve">requirements of the </w:t>
      </w:r>
      <w:r w:rsidR="002559D9">
        <w:tab/>
      </w:r>
      <w:r>
        <w:t>f</w:t>
      </w:r>
      <w:r w:rsidRPr="0054321A">
        <w:t>ramework</w:t>
      </w:r>
      <w:r>
        <w:t xml:space="preserve">.  </w:t>
      </w:r>
      <w:r w:rsidRPr="0054321A">
        <w:t xml:space="preserve"> </w:t>
      </w:r>
      <w:r w:rsidR="002559D9">
        <w:t xml:space="preserve">A lighter touch/higher level approach </w:t>
      </w:r>
      <w:r w:rsidR="000413B9">
        <w:tab/>
        <w:t>was</w:t>
      </w:r>
      <w:r w:rsidR="002559D9">
        <w:t xml:space="preserve"> taken to</w:t>
      </w:r>
      <w:r w:rsidR="000413B9">
        <w:t xml:space="preserve"> </w:t>
      </w:r>
      <w:r w:rsidR="002559D9">
        <w:t xml:space="preserve">the </w:t>
      </w:r>
      <w:r w:rsidR="000413B9">
        <w:t xml:space="preserve"> </w:t>
      </w:r>
      <w:r w:rsidR="002559D9">
        <w:t xml:space="preserve">2020/21 review </w:t>
      </w:r>
      <w:r w:rsidR="000413B9">
        <w:t xml:space="preserve">however a complete review against </w:t>
      </w:r>
      <w:r w:rsidR="000413B9">
        <w:tab/>
        <w:t>the CIPFA Framework has been undertaken for 2021/22</w:t>
      </w:r>
      <w:r w:rsidR="008368BE">
        <w:t xml:space="preserve"> and is shown </w:t>
      </w:r>
      <w:r w:rsidR="008368BE">
        <w:tab/>
        <w:t xml:space="preserve">in the Evidence Table attached along with the results of the </w:t>
      </w:r>
      <w:r w:rsidR="008368BE">
        <w:tab/>
        <w:t>Management Assurance exercise for 2021/22</w:t>
      </w:r>
      <w:r w:rsidR="002559D9">
        <w:t>.</w:t>
      </w:r>
      <w:r>
        <w:tab/>
      </w:r>
    </w:p>
    <w:p w14:paraId="3962989B" w14:textId="261108DF" w:rsidR="002559D9" w:rsidRDefault="002559D9" w:rsidP="009F509C"/>
    <w:p w14:paraId="768E1193" w14:textId="6C9B2A47" w:rsidR="002559D9" w:rsidRPr="002559D9" w:rsidRDefault="002559D9" w:rsidP="009F509C">
      <w:pPr>
        <w:rPr>
          <w:b/>
          <w:bCs/>
        </w:rPr>
      </w:pPr>
      <w:r w:rsidRPr="002559D9">
        <w:rPr>
          <w:b/>
          <w:bCs/>
        </w:rPr>
        <w:t>Annual Governance Statement 202</w:t>
      </w:r>
      <w:r w:rsidR="000413B9">
        <w:rPr>
          <w:b/>
          <w:bCs/>
        </w:rPr>
        <w:t>1</w:t>
      </w:r>
      <w:r w:rsidRPr="002559D9">
        <w:rPr>
          <w:b/>
          <w:bCs/>
        </w:rPr>
        <w:t>/2</w:t>
      </w:r>
      <w:r w:rsidR="000413B9">
        <w:rPr>
          <w:b/>
          <w:bCs/>
        </w:rPr>
        <w:t>2</w:t>
      </w:r>
    </w:p>
    <w:p w14:paraId="0EDBEC9D" w14:textId="0142EC1E" w:rsidR="002559D9" w:rsidRDefault="002559D9" w:rsidP="009F509C"/>
    <w:p w14:paraId="0B2252F7" w14:textId="4DFE306C" w:rsidR="006E4960" w:rsidRDefault="002559D9" w:rsidP="009F509C">
      <w:pPr>
        <w:rPr>
          <w:bCs/>
        </w:rPr>
      </w:pPr>
      <w:r>
        <w:t>2.1</w:t>
      </w:r>
      <w:r w:rsidR="006E4960">
        <w:t>3</w:t>
      </w:r>
      <w:r>
        <w:tab/>
      </w:r>
      <w:r w:rsidRPr="002559D9">
        <w:rPr>
          <w:bCs/>
        </w:rPr>
        <w:t xml:space="preserve">The </w:t>
      </w:r>
      <w:r w:rsidR="000413B9">
        <w:rPr>
          <w:bCs/>
        </w:rPr>
        <w:t xml:space="preserve">Draft </w:t>
      </w:r>
      <w:r w:rsidRPr="002559D9">
        <w:rPr>
          <w:bCs/>
        </w:rPr>
        <w:t xml:space="preserve">Annual Governance Statement </w:t>
      </w:r>
      <w:r w:rsidR="000413B9">
        <w:rPr>
          <w:bCs/>
        </w:rPr>
        <w:t xml:space="preserve">was agreed by the Interim </w:t>
      </w:r>
      <w:r w:rsidR="000413B9">
        <w:rPr>
          <w:bCs/>
        </w:rPr>
        <w:tab/>
        <w:t xml:space="preserve">Chief Executive in July 2022, presented to the GARMS Committee in </w:t>
      </w:r>
      <w:r w:rsidR="000413B9">
        <w:rPr>
          <w:bCs/>
        </w:rPr>
        <w:tab/>
        <w:t xml:space="preserve">August 2022 and included in the Council’s Draft Accounts.  The final </w:t>
      </w:r>
      <w:r w:rsidR="000413B9">
        <w:rPr>
          <w:bCs/>
        </w:rPr>
        <w:tab/>
        <w:t xml:space="preserve">AGS shows changes made to the </w:t>
      </w:r>
      <w:r w:rsidR="006E4960">
        <w:rPr>
          <w:bCs/>
        </w:rPr>
        <w:t xml:space="preserve">draft as a result of finalising  the </w:t>
      </w:r>
      <w:r w:rsidR="006E4960">
        <w:rPr>
          <w:bCs/>
        </w:rPr>
        <w:tab/>
        <w:t xml:space="preserve">annual review of governance and the Management Assurance exercise </w:t>
      </w:r>
      <w:r w:rsidR="006E4960">
        <w:rPr>
          <w:bCs/>
        </w:rPr>
        <w:tab/>
        <w:t xml:space="preserve">in red for ease of review. </w:t>
      </w:r>
    </w:p>
    <w:p w14:paraId="1D9CF904" w14:textId="77777777" w:rsidR="006E4960" w:rsidRDefault="006E4960" w:rsidP="009F509C">
      <w:pPr>
        <w:rPr>
          <w:bCs/>
        </w:rPr>
      </w:pPr>
    </w:p>
    <w:p w14:paraId="7F68E0F5" w14:textId="3F6ED2FA" w:rsidR="002559D9" w:rsidRDefault="006E4960" w:rsidP="009F509C">
      <w:pPr>
        <w:rPr>
          <w:bCs/>
        </w:rPr>
      </w:pPr>
      <w:r>
        <w:rPr>
          <w:bCs/>
        </w:rPr>
        <w:t>2.14</w:t>
      </w:r>
      <w:r>
        <w:rPr>
          <w:bCs/>
        </w:rPr>
        <w:tab/>
        <w:t xml:space="preserve">The AGS </w:t>
      </w:r>
      <w:r w:rsidR="002559D9" w:rsidRPr="002559D9">
        <w:rPr>
          <w:bCs/>
        </w:rPr>
        <w:t>is prepared on behalf</w:t>
      </w:r>
      <w:r>
        <w:rPr>
          <w:bCs/>
        </w:rPr>
        <w:t xml:space="preserve"> </w:t>
      </w:r>
      <w:r w:rsidR="002559D9" w:rsidRPr="002559D9">
        <w:rPr>
          <w:bCs/>
        </w:rPr>
        <w:t>of the Leader</w:t>
      </w:r>
      <w:r>
        <w:rPr>
          <w:bCs/>
        </w:rPr>
        <w:t xml:space="preserve"> </w:t>
      </w:r>
      <w:r w:rsidR="002559D9" w:rsidRPr="002559D9">
        <w:rPr>
          <w:bCs/>
        </w:rPr>
        <w:t xml:space="preserve">of the Council and the </w:t>
      </w:r>
      <w:r>
        <w:rPr>
          <w:bCs/>
        </w:rPr>
        <w:tab/>
      </w:r>
      <w:r w:rsidR="002559D9" w:rsidRPr="002559D9">
        <w:rPr>
          <w:bCs/>
        </w:rPr>
        <w:t>Chief Executive</w:t>
      </w:r>
      <w:r>
        <w:rPr>
          <w:bCs/>
        </w:rPr>
        <w:t xml:space="preserve">.  </w:t>
      </w:r>
    </w:p>
    <w:p w14:paraId="74F65F7C" w14:textId="2ABA146E" w:rsidR="00DA6A3A" w:rsidRDefault="00DA6A3A" w:rsidP="009F509C">
      <w:pPr>
        <w:rPr>
          <w:bCs/>
        </w:rPr>
      </w:pPr>
    </w:p>
    <w:p w14:paraId="3469E0D9" w14:textId="77777777" w:rsidR="00213BE7" w:rsidRDefault="00213BE7" w:rsidP="00213BE7">
      <w:pPr>
        <w:pStyle w:val="Heading2"/>
      </w:pPr>
      <w:r>
        <w:t>Legal Implications</w:t>
      </w:r>
    </w:p>
    <w:p w14:paraId="687A5D43" w14:textId="470405ED" w:rsidR="00DA6A3A" w:rsidRPr="00DA6A3A" w:rsidRDefault="00DA6A3A" w:rsidP="00DA6A3A">
      <w:pPr>
        <w:pStyle w:val="Heading4"/>
        <w:keepNext w:val="0"/>
        <w:spacing w:before="360"/>
        <w:rPr>
          <w:b w:val="0"/>
          <w:bCs/>
          <w:sz w:val="24"/>
          <w:szCs w:val="24"/>
        </w:rPr>
      </w:pPr>
      <w:r>
        <w:rPr>
          <w:b w:val="0"/>
          <w:bCs/>
          <w:sz w:val="24"/>
          <w:szCs w:val="24"/>
        </w:rPr>
        <w:t>2.1</w:t>
      </w:r>
      <w:r w:rsidR="006E4960">
        <w:rPr>
          <w:b w:val="0"/>
          <w:bCs/>
          <w:sz w:val="24"/>
          <w:szCs w:val="24"/>
        </w:rPr>
        <w:t>5</w:t>
      </w:r>
      <w:r>
        <w:rPr>
          <w:b w:val="0"/>
          <w:bCs/>
          <w:sz w:val="24"/>
          <w:szCs w:val="24"/>
        </w:rPr>
        <w:t xml:space="preserve"> </w:t>
      </w:r>
      <w:r w:rsidRPr="00DA6A3A">
        <w:rPr>
          <w:b w:val="0"/>
          <w:bCs/>
          <w:sz w:val="24"/>
          <w:szCs w:val="24"/>
        </w:rPr>
        <w:t>As covered in the main body of the report.</w:t>
      </w:r>
    </w:p>
    <w:p w14:paraId="41BB405D" w14:textId="15C91B71" w:rsidR="002A2389" w:rsidRDefault="002A2389" w:rsidP="003D2FFE">
      <w:pPr>
        <w:pStyle w:val="Heading2"/>
        <w:spacing w:after="240"/>
      </w:pPr>
      <w:r>
        <w:t>Financial Implications</w:t>
      </w:r>
    </w:p>
    <w:p w14:paraId="5A78A2E8" w14:textId="56B99626" w:rsidR="00DA6A3A" w:rsidRPr="00DA6A3A" w:rsidRDefault="00DA6A3A" w:rsidP="00DA6A3A">
      <w:r>
        <w:t>2.1</w:t>
      </w:r>
      <w:r w:rsidR="00F56A03">
        <w:t>6</w:t>
      </w:r>
      <w:r>
        <w:tab/>
      </w:r>
      <w:r w:rsidRPr="00DA6A3A">
        <w:t>There are no financial implications to this report.</w:t>
      </w:r>
    </w:p>
    <w:p w14:paraId="5ACE80EE" w14:textId="77777777" w:rsidR="00C32DAE" w:rsidRPr="003D2FFE" w:rsidRDefault="00C32DAE" w:rsidP="003D2FFE">
      <w:pPr>
        <w:pStyle w:val="Heading2"/>
        <w:spacing w:after="240"/>
      </w:pPr>
      <w:r>
        <w:lastRenderedPageBreak/>
        <w:t>Risk Management Implications</w:t>
      </w:r>
    </w:p>
    <w:p w14:paraId="0866EC0D" w14:textId="3B2EC01E" w:rsidR="004A4A1D" w:rsidRPr="00105B8A" w:rsidRDefault="002201B3" w:rsidP="002201B3">
      <w:pPr>
        <w:rPr>
          <w:color w:val="0000FF"/>
        </w:rPr>
      </w:pPr>
      <w:r>
        <w:rPr>
          <w:rFonts w:cs="Arial"/>
          <w:szCs w:val="24"/>
          <w:lang w:val="en-US"/>
        </w:rPr>
        <w:t>2.1</w:t>
      </w:r>
      <w:r w:rsidR="00F56A03">
        <w:rPr>
          <w:rFonts w:cs="Arial"/>
          <w:szCs w:val="24"/>
          <w:lang w:val="en-US"/>
        </w:rPr>
        <w:t>7</w:t>
      </w:r>
      <w:r>
        <w:rPr>
          <w:rFonts w:cs="Arial"/>
          <w:szCs w:val="24"/>
          <w:lang w:val="en-US"/>
        </w:rPr>
        <w:tab/>
      </w:r>
      <w:r w:rsidR="004A4A1D">
        <w:rPr>
          <w:rFonts w:cs="Arial"/>
          <w:szCs w:val="24"/>
          <w:lang w:val="en-US"/>
        </w:rPr>
        <w:t xml:space="preserve">Risks included on corporate or directorate risk register? </w:t>
      </w:r>
      <w:r w:rsidR="004A4A1D">
        <w:rPr>
          <w:rFonts w:cs="Arial"/>
          <w:b/>
          <w:bCs/>
          <w:szCs w:val="24"/>
          <w:lang w:val="en-US"/>
        </w:rPr>
        <w:t>No</w:t>
      </w:r>
      <w:r w:rsidR="004A4A1D">
        <w:rPr>
          <w:rFonts w:cs="Arial"/>
          <w:szCs w:val="24"/>
          <w:lang w:val="en-US"/>
        </w:rPr>
        <w:t xml:space="preserve"> </w:t>
      </w:r>
    </w:p>
    <w:p w14:paraId="6F7A7108" w14:textId="77777777" w:rsidR="004A4A1D" w:rsidRDefault="004A4A1D" w:rsidP="004A4A1D">
      <w:pPr>
        <w:ind w:left="-142" w:right="141"/>
        <w:rPr>
          <w:rFonts w:cs="Arial"/>
          <w:szCs w:val="24"/>
          <w:lang w:val="en-US" w:eastAsia="en-GB"/>
        </w:rPr>
      </w:pPr>
      <w:r>
        <w:rPr>
          <w:rFonts w:cs="Arial"/>
          <w:szCs w:val="24"/>
          <w:lang w:val="en-US" w:eastAsia="en-GB"/>
        </w:rPr>
        <w:t xml:space="preserve">  </w:t>
      </w:r>
    </w:p>
    <w:p w14:paraId="474F3698" w14:textId="190610AD" w:rsidR="004A4A1D" w:rsidRDefault="002201B3" w:rsidP="004A4A1D">
      <w:pPr>
        <w:ind w:left="-142" w:right="141" w:firstLine="142"/>
        <w:rPr>
          <w:rFonts w:cs="Arial"/>
          <w:color w:val="4F81BD" w:themeColor="accent1"/>
          <w:szCs w:val="24"/>
          <w:lang w:val="en-US" w:eastAsia="en-GB"/>
        </w:rPr>
      </w:pPr>
      <w:r>
        <w:rPr>
          <w:rFonts w:cs="Arial"/>
          <w:szCs w:val="24"/>
          <w:lang w:val="en-US" w:eastAsia="en-GB"/>
        </w:rPr>
        <w:t>2.</w:t>
      </w:r>
      <w:r w:rsidR="00F56A03">
        <w:rPr>
          <w:rFonts w:cs="Arial"/>
          <w:szCs w:val="24"/>
          <w:lang w:val="en-US" w:eastAsia="en-GB"/>
        </w:rPr>
        <w:t>18</w:t>
      </w:r>
      <w:r>
        <w:rPr>
          <w:rFonts w:cs="Arial"/>
          <w:szCs w:val="24"/>
          <w:lang w:val="en-US" w:eastAsia="en-GB"/>
        </w:rPr>
        <w:tab/>
      </w:r>
      <w:r w:rsidR="004A4A1D">
        <w:rPr>
          <w:rFonts w:cs="Arial"/>
          <w:szCs w:val="24"/>
          <w:lang w:val="en-US" w:eastAsia="en-GB"/>
        </w:rPr>
        <w:t xml:space="preserve">Separate risk register in place? </w:t>
      </w:r>
      <w:r w:rsidR="004A4A1D">
        <w:rPr>
          <w:rFonts w:cs="Arial"/>
          <w:b/>
          <w:bCs/>
          <w:szCs w:val="24"/>
          <w:lang w:val="en-US" w:eastAsia="en-GB"/>
        </w:rPr>
        <w:t>No</w:t>
      </w:r>
      <w:r w:rsidR="004A4A1D">
        <w:rPr>
          <w:rFonts w:cs="Arial"/>
          <w:szCs w:val="24"/>
          <w:lang w:val="en-US" w:eastAsia="en-GB"/>
        </w:rPr>
        <w:t xml:space="preserve"> </w:t>
      </w:r>
    </w:p>
    <w:p w14:paraId="44EE3445" w14:textId="77777777" w:rsidR="004A4A1D" w:rsidRDefault="004A4A1D" w:rsidP="004A4A1D">
      <w:pPr>
        <w:tabs>
          <w:tab w:val="left" w:pos="5610"/>
        </w:tabs>
        <w:ind w:left="567" w:right="81" w:hanging="567"/>
      </w:pPr>
    </w:p>
    <w:p w14:paraId="015806C0" w14:textId="34668886" w:rsidR="004A4A1D" w:rsidRDefault="002201B3" w:rsidP="002201B3">
      <w:pPr>
        <w:ind w:left="-142" w:right="141" w:firstLine="142"/>
      </w:pPr>
      <w:r>
        <w:t>2.</w:t>
      </w:r>
      <w:r w:rsidR="00F56A03">
        <w:t>19</w:t>
      </w:r>
      <w:r>
        <w:tab/>
      </w:r>
      <w:r w:rsidR="004A4A1D">
        <w:t xml:space="preserve">The relevant risks contained in the register are attached/summarised </w:t>
      </w:r>
      <w:r>
        <w:tab/>
      </w:r>
      <w:r>
        <w:tab/>
      </w:r>
      <w:r w:rsidR="004A4A1D">
        <w:t xml:space="preserve">below. </w:t>
      </w:r>
      <w:r w:rsidR="004A4A1D">
        <w:rPr>
          <w:rFonts w:cs="Arial"/>
          <w:b/>
          <w:bCs/>
          <w:szCs w:val="24"/>
          <w:lang w:val="en-US" w:eastAsia="en-GB"/>
        </w:rPr>
        <w:t xml:space="preserve">n/a </w:t>
      </w:r>
    </w:p>
    <w:p w14:paraId="29079266" w14:textId="77777777" w:rsidR="004A4A1D" w:rsidRDefault="004A4A1D" w:rsidP="004A4A1D"/>
    <w:p w14:paraId="228811B3" w14:textId="24ED052D" w:rsidR="004A4A1D" w:rsidRDefault="002201B3" w:rsidP="004A4A1D">
      <w:r>
        <w:t>2.2</w:t>
      </w:r>
      <w:r w:rsidR="00F56A03">
        <w:t>0</w:t>
      </w:r>
      <w:r>
        <w:tab/>
      </w:r>
      <w:r w:rsidR="004A4A1D">
        <w:t xml:space="preserve">The following key risks should be taken into account when agreeing the </w:t>
      </w:r>
      <w:r>
        <w:tab/>
      </w:r>
      <w:r w:rsidR="004A4A1D">
        <w:t>recommendations in this report:</w:t>
      </w:r>
    </w:p>
    <w:p w14:paraId="591BB94F" w14:textId="77777777" w:rsidR="004A4A1D" w:rsidRDefault="004A4A1D" w:rsidP="004A4A1D">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2D2FC5" w14:paraId="40B928E5" w14:textId="77777777" w:rsidTr="00CB687A">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57D481" w14:textId="77777777" w:rsidR="002D2FC5" w:rsidRDefault="002D2FC5" w:rsidP="00CB687A">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803D31" w14:textId="77777777" w:rsidR="002D2FC5" w:rsidRDefault="002D2FC5" w:rsidP="00CB687A">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54B862F5" w14:textId="77777777" w:rsidR="002D2FC5" w:rsidRDefault="002D2FC5" w:rsidP="00CB687A">
            <w:pPr>
              <w:spacing w:line="247" w:lineRule="auto"/>
              <w:ind w:left="171" w:right="141"/>
              <w:rPr>
                <w:rFonts w:cs="Arial"/>
                <w:b/>
                <w:bCs/>
                <w:szCs w:val="24"/>
                <w:lang w:val="en-US" w:eastAsia="en-GB"/>
              </w:rPr>
            </w:pPr>
            <w:r>
              <w:rPr>
                <w:rFonts w:cs="Arial"/>
                <w:b/>
                <w:bCs/>
                <w:szCs w:val="24"/>
                <w:lang w:val="en-US" w:eastAsia="en-GB"/>
              </w:rPr>
              <w:t>RAG Status</w:t>
            </w:r>
          </w:p>
        </w:tc>
      </w:tr>
      <w:tr w:rsidR="004F11C6" w14:paraId="74F54195" w14:textId="77777777" w:rsidTr="00DA6A3A">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73248" w14:textId="33BAE2BD" w:rsidR="004F11C6" w:rsidRDefault="004F11C6" w:rsidP="00CB687A">
            <w:pPr>
              <w:spacing w:line="247" w:lineRule="auto"/>
              <w:ind w:right="141"/>
              <w:rPr>
                <w:rFonts w:cs="Arial"/>
                <w:bCs/>
                <w:szCs w:val="24"/>
                <w:lang w:eastAsia="en-GB"/>
              </w:rPr>
            </w:pPr>
            <w:r>
              <w:rPr>
                <w:rFonts w:cs="Arial"/>
                <w:bCs/>
                <w:szCs w:val="24"/>
                <w:lang w:eastAsia="en-GB"/>
              </w:rPr>
              <w:t>Non-compliance with the Public Sector Internal Audit Standards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0A5E9" w14:textId="631ECBDC" w:rsidR="004F11C6" w:rsidRDefault="004F11C6" w:rsidP="002D2FC5">
            <w:pPr>
              <w:pStyle w:val="ListParagraph"/>
              <w:numPr>
                <w:ilvl w:val="0"/>
                <w:numId w:val="15"/>
              </w:numPr>
              <w:suppressAutoHyphens/>
              <w:autoSpaceDN w:val="0"/>
              <w:spacing w:line="247" w:lineRule="auto"/>
              <w:ind w:left="171" w:right="141" w:hanging="171"/>
              <w:rPr>
                <w:szCs w:val="24"/>
                <w:lang w:val="en-US"/>
              </w:rPr>
            </w:pPr>
            <w:r>
              <w:rPr>
                <w:szCs w:val="24"/>
                <w:lang w:val="en-US"/>
              </w:rPr>
              <w:t>Production of the Head of Internal Audit’s Opinion</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2B79A680" w14:textId="1A0CEB2B" w:rsidR="004F11C6" w:rsidRDefault="004F11C6" w:rsidP="00CB687A">
            <w:pPr>
              <w:spacing w:line="247" w:lineRule="auto"/>
              <w:ind w:left="171" w:right="141"/>
              <w:rPr>
                <w:rFonts w:cs="Arial"/>
                <w:szCs w:val="24"/>
                <w:lang w:val="en-US" w:eastAsia="en-GB"/>
              </w:rPr>
            </w:pPr>
            <w:r>
              <w:rPr>
                <w:rFonts w:cs="Arial"/>
                <w:szCs w:val="24"/>
                <w:lang w:val="en-US" w:eastAsia="en-GB"/>
              </w:rPr>
              <w:t>Green</w:t>
            </w:r>
          </w:p>
        </w:tc>
      </w:tr>
      <w:tr w:rsidR="002D2FC5" w14:paraId="724D9F86" w14:textId="77777777" w:rsidTr="00DA6A3A">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2B581" w14:textId="1F0F437F" w:rsidR="002D2FC5" w:rsidRDefault="00DA6A3A" w:rsidP="00CB687A">
            <w:pPr>
              <w:spacing w:line="247" w:lineRule="auto"/>
              <w:ind w:right="141"/>
              <w:rPr>
                <w:rFonts w:cs="Arial"/>
                <w:szCs w:val="24"/>
                <w:lang w:val="en-US" w:eastAsia="en-GB"/>
              </w:rPr>
            </w:pPr>
            <w:r>
              <w:rPr>
                <w:rFonts w:cs="Arial"/>
                <w:bCs/>
                <w:szCs w:val="24"/>
                <w:lang w:eastAsia="en-GB"/>
              </w:rPr>
              <w:t>T</w:t>
            </w:r>
            <w:r w:rsidRPr="00DA6A3A">
              <w:rPr>
                <w:rFonts w:cs="Arial"/>
                <w:bCs/>
                <w:szCs w:val="24"/>
                <w:lang w:eastAsia="en-GB"/>
              </w:rPr>
              <w:t xml:space="preserve">he Council </w:t>
            </w:r>
            <w:r>
              <w:rPr>
                <w:rFonts w:cs="Arial"/>
                <w:bCs/>
                <w:szCs w:val="24"/>
                <w:lang w:eastAsia="en-GB"/>
              </w:rPr>
              <w:t xml:space="preserve">does </w:t>
            </w:r>
            <w:r w:rsidRPr="00DA6A3A">
              <w:rPr>
                <w:rFonts w:cs="Arial"/>
                <w:bCs/>
                <w:szCs w:val="24"/>
                <w:lang w:eastAsia="en-GB"/>
              </w:rPr>
              <w:t xml:space="preserve">not comply with </w:t>
            </w:r>
            <w:r w:rsidRPr="00DA6A3A">
              <w:rPr>
                <w:rFonts w:cs="Arial"/>
                <w:bCs/>
                <w:iCs/>
                <w:szCs w:val="24"/>
                <w:lang w:eastAsia="en-GB"/>
              </w:rPr>
              <w:t>Regulation 6 of the Accounts and Audit Regulations 2015</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9E74F" w14:textId="5B823F8B" w:rsidR="002D2FC5" w:rsidRDefault="00DA6A3A" w:rsidP="002D2FC5">
            <w:pPr>
              <w:pStyle w:val="ListParagraph"/>
              <w:numPr>
                <w:ilvl w:val="0"/>
                <w:numId w:val="15"/>
              </w:numPr>
              <w:suppressAutoHyphens/>
              <w:autoSpaceDN w:val="0"/>
              <w:spacing w:line="247" w:lineRule="auto"/>
              <w:ind w:left="171" w:right="141" w:hanging="171"/>
              <w:rPr>
                <w:szCs w:val="24"/>
                <w:lang w:val="en-US"/>
              </w:rPr>
            </w:pPr>
            <w:r>
              <w:rPr>
                <w:szCs w:val="24"/>
                <w:lang w:val="en-US"/>
              </w:rPr>
              <w:t>Annual review of governance</w:t>
            </w:r>
          </w:p>
          <w:p w14:paraId="52675172" w14:textId="2C9D9ECB" w:rsidR="002D2FC5" w:rsidRPr="004F11C6" w:rsidRDefault="00DA6A3A" w:rsidP="004F11C6">
            <w:pPr>
              <w:pStyle w:val="ListParagraph"/>
              <w:numPr>
                <w:ilvl w:val="0"/>
                <w:numId w:val="15"/>
              </w:numPr>
              <w:suppressAutoHyphens/>
              <w:autoSpaceDN w:val="0"/>
              <w:spacing w:line="247" w:lineRule="auto"/>
              <w:ind w:left="171" w:right="141" w:hanging="171"/>
              <w:rPr>
                <w:szCs w:val="24"/>
                <w:lang w:val="en-US"/>
              </w:rPr>
            </w:pPr>
            <w:r w:rsidRPr="004F11C6">
              <w:rPr>
                <w:szCs w:val="24"/>
                <w:lang w:val="en-US"/>
              </w:rPr>
              <w:t>P</w:t>
            </w:r>
            <w:r w:rsidR="004F11C6" w:rsidRPr="004F11C6">
              <w:rPr>
                <w:szCs w:val="24"/>
                <w:lang w:val="en-US"/>
              </w:rPr>
              <w:t xml:space="preserve">ublication </w:t>
            </w:r>
            <w:r w:rsidRPr="004F11C6">
              <w:rPr>
                <w:szCs w:val="24"/>
                <w:lang w:val="en-US"/>
              </w:rPr>
              <w:t>of the Annual Governance Statement</w:t>
            </w:r>
          </w:p>
        </w:tc>
        <w:tc>
          <w:tcPr>
            <w:tcW w:w="2070" w:type="dxa"/>
            <w:tcBorders>
              <w:top w:val="single" w:sz="4" w:space="0" w:color="000000"/>
              <w:left w:val="single" w:sz="4" w:space="0" w:color="000000"/>
              <w:bottom w:val="single" w:sz="4" w:space="0" w:color="000000"/>
              <w:right w:val="single" w:sz="4" w:space="0" w:color="000000"/>
            </w:tcBorders>
            <w:shd w:val="clear" w:color="auto" w:fill="92D050"/>
            <w:hideMark/>
          </w:tcPr>
          <w:p w14:paraId="31C1C920" w14:textId="77777777" w:rsidR="002D2FC5" w:rsidRDefault="002D2FC5" w:rsidP="00CB687A">
            <w:pPr>
              <w:spacing w:line="247" w:lineRule="auto"/>
              <w:ind w:left="171" w:right="141"/>
              <w:rPr>
                <w:rFonts w:cs="Arial"/>
                <w:szCs w:val="24"/>
                <w:lang w:val="en-US" w:eastAsia="en-GB"/>
              </w:rPr>
            </w:pPr>
            <w:r>
              <w:rPr>
                <w:rFonts w:cs="Arial"/>
                <w:szCs w:val="24"/>
                <w:lang w:val="en-US" w:eastAsia="en-GB"/>
              </w:rPr>
              <w:t>Green</w:t>
            </w:r>
          </w:p>
        </w:tc>
      </w:tr>
    </w:tbl>
    <w:p w14:paraId="44D33D1F" w14:textId="77777777" w:rsidR="00FD31A0" w:rsidRDefault="00FD31A0" w:rsidP="003D2FFE">
      <w:pPr>
        <w:pStyle w:val="Heading2"/>
        <w:keepNext/>
        <w:spacing w:after="240"/>
      </w:pPr>
      <w:r w:rsidRPr="004A2543">
        <w:t>Equalities implications</w:t>
      </w:r>
      <w:r w:rsidR="00213BE7">
        <w:t xml:space="preserve"> / Public Sector Equality Duty </w:t>
      </w:r>
    </w:p>
    <w:p w14:paraId="3D4258A4" w14:textId="0CE2E6C3" w:rsidR="00FD31A0" w:rsidRDefault="002201B3" w:rsidP="002201B3">
      <w:pPr>
        <w:rPr>
          <w:rFonts w:cs="Arial"/>
          <w:szCs w:val="24"/>
          <w:lang w:val="en-US"/>
        </w:rPr>
      </w:pPr>
      <w:r>
        <w:t>2.2</w:t>
      </w:r>
      <w:r w:rsidR="00F56A03">
        <w:t>1</w:t>
      </w:r>
      <w:r>
        <w:tab/>
      </w:r>
      <w:r w:rsidR="00FD31A0" w:rsidRPr="004A2543">
        <w:t xml:space="preserve">Was an Equality Impact Assessment carried out?  </w:t>
      </w:r>
      <w:r w:rsidR="00FD31A0">
        <w:t xml:space="preserve">No </w:t>
      </w:r>
      <w:r>
        <w:t xml:space="preserve">as not relevant to </w:t>
      </w:r>
      <w:r>
        <w:tab/>
        <w:t>this report.</w:t>
      </w:r>
    </w:p>
    <w:p w14:paraId="04BDE0CE" w14:textId="77777777" w:rsidR="002201B3" w:rsidRPr="002201B3" w:rsidRDefault="002201B3" w:rsidP="002201B3">
      <w:pPr>
        <w:rPr>
          <w:rFonts w:cs="Arial"/>
          <w:bCs/>
          <w:szCs w:val="24"/>
          <w:lang w:val="en-US"/>
        </w:rPr>
      </w:pPr>
    </w:p>
    <w:p w14:paraId="68D2CB1A" w14:textId="74945060" w:rsidR="00714D55" w:rsidRDefault="00714D55">
      <w:pPr>
        <w:rPr>
          <w:rFonts w:ascii="Arial Black" w:hAnsi="Arial Black" w:cs="Arial"/>
          <w:bCs/>
          <w:sz w:val="32"/>
          <w:szCs w:val="32"/>
        </w:rPr>
      </w:pPr>
    </w:p>
    <w:p w14:paraId="11BF41CC" w14:textId="0E72E549"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77777777" w:rsidR="00912904" w:rsidRPr="00A66326" w:rsidRDefault="00912904" w:rsidP="00912904">
      <w:pPr>
        <w:rPr>
          <w:sz w:val="28"/>
        </w:rPr>
      </w:pPr>
      <w:r w:rsidRPr="00A66326">
        <w:rPr>
          <w:b/>
          <w:sz w:val="28"/>
        </w:rPr>
        <w:t xml:space="preserve">Statutory Officer:  </w:t>
      </w:r>
    </w:p>
    <w:p w14:paraId="57640BD9" w14:textId="1115DAAD" w:rsidR="00912904" w:rsidRPr="00A66326" w:rsidRDefault="00912904" w:rsidP="00912904">
      <w:r w:rsidRPr="00A66326">
        <w:t>Signed on by the Chief Financial Officer</w:t>
      </w:r>
    </w:p>
    <w:p w14:paraId="650DA37B" w14:textId="678641E3" w:rsidR="00912904" w:rsidRDefault="00912904" w:rsidP="00912904">
      <w:pPr>
        <w:rPr>
          <w:sz w:val="28"/>
        </w:rPr>
      </w:pPr>
    </w:p>
    <w:p w14:paraId="249A9F0C" w14:textId="11271FE2" w:rsidR="00714D55" w:rsidRPr="00714D55" w:rsidRDefault="00714D55" w:rsidP="00912904">
      <w:pPr>
        <w:rPr>
          <w:szCs w:val="24"/>
        </w:rPr>
      </w:pPr>
      <w:r w:rsidRPr="00714D55">
        <w:rPr>
          <w:szCs w:val="24"/>
        </w:rPr>
        <w:t>Dawn Calvert</w:t>
      </w:r>
      <w:r>
        <w:rPr>
          <w:szCs w:val="24"/>
        </w:rPr>
        <w:t>, Director of Finance &amp; Assurance</w:t>
      </w:r>
    </w:p>
    <w:p w14:paraId="53907285" w14:textId="77777777" w:rsidR="00714D55" w:rsidRPr="00A66326" w:rsidRDefault="00714D55" w:rsidP="00912904">
      <w:pPr>
        <w:rPr>
          <w:sz w:val="28"/>
        </w:rPr>
      </w:pPr>
    </w:p>
    <w:p w14:paraId="5745A2E3" w14:textId="4D3FA15A" w:rsidR="00912904" w:rsidRPr="00D13B1A" w:rsidRDefault="00912904" w:rsidP="00912904">
      <w:pPr>
        <w:spacing w:after="480"/>
        <w:rPr>
          <w:bCs/>
          <w:sz w:val="28"/>
        </w:rPr>
      </w:pPr>
      <w:r w:rsidRPr="00A66326">
        <w:rPr>
          <w:b/>
          <w:sz w:val="28"/>
        </w:rPr>
        <w:t xml:space="preserve">Date:  </w:t>
      </w:r>
      <w:r w:rsidR="00D13B1A" w:rsidRPr="00D13B1A">
        <w:rPr>
          <w:bCs/>
          <w:sz w:val="28"/>
        </w:rPr>
        <w:t>21 November 2022</w:t>
      </w:r>
    </w:p>
    <w:p w14:paraId="2586CC50" w14:textId="77777777" w:rsidR="00912904" w:rsidRPr="00A66326" w:rsidRDefault="00912904" w:rsidP="00912904">
      <w:pPr>
        <w:rPr>
          <w:sz w:val="28"/>
        </w:rPr>
      </w:pPr>
      <w:r w:rsidRPr="00A66326">
        <w:rPr>
          <w:b/>
          <w:sz w:val="28"/>
        </w:rPr>
        <w:t xml:space="preserve">Statutory Officer:  </w:t>
      </w:r>
    </w:p>
    <w:p w14:paraId="3F58D77A" w14:textId="73C54175" w:rsidR="00912904" w:rsidRPr="00A66326" w:rsidRDefault="00912904" w:rsidP="00912904">
      <w:r w:rsidRPr="00A66326">
        <w:t>Signed on by the Monitoring Officer</w:t>
      </w:r>
    </w:p>
    <w:p w14:paraId="4E4F48EC" w14:textId="70C7ABD3" w:rsidR="00912904" w:rsidRDefault="00912904" w:rsidP="00912904">
      <w:pPr>
        <w:ind w:left="360" w:hanging="360"/>
        <w:jc w:val="both"/>
        <w:rPr>
          <w:rFonts w:cs="Arial"/>
          <w:color w:val="FF0000"/>
        </w:rPr>
      </w:pPr>
    </w:p>
    <w:p w14:paraId="3717C499" w14:textId="166ED215" w:rsidR="00714D55" w:rsidRPr="002548D1" w:rsidRDefault="00714D55" w:rsidP="00912904">
      <w:pPr>
        <w:ind w:left="360" w:hanging="360"/>
        <w:jc w:val="both"/>
        <w:rPr>
          <w:rFonts w:cs="Arial"/>
          <w:color w:val="FF0000"/>
        </w:rPr>
      </w:pPr>
      <w:r w:rsidRPr="00714D55">
        <w:rPr>
          <w:rFonts w:cs="Arial"/>
        </w:rPr>
        <w:t>Hugh Peart, Director of Legal &amp; Governance</w:t>
      </w:r>
    </w:p>
    <w:p w14:paraId="52AD6B43" w14:textId="77777777" w:rsidR="00912904" w:rsidRPr="00A66326" w:rsidRDefault="00912904" w:rsidP="00912904">
      <w:pPr>
        <w:rPr>
          <w:sz w:val="28"/>
        </w:rPr>
      </w:pPr>
    </w:p>
    <w:p w14:paraId="61F8C7E6" w14:textId="0DC1223A" w:rsidR="00912904" w:rsidRPr="00714D55" w:rsidRDefault="00912904" w:rsidP="00912904">
      <w:pPr>
        <w:spacing w:after="480"/>
        <w:rPr>
          <w:bCs/>
          <w:szCs w:val="24"/>
        </w:rPr>
      </w:pPr>
      <w:r w:rsidRPr="00A66326">
        <w:rPr>
          <w:b/>
          <w:sz w:val="28"/>
        </w:rPr>
        <w:t xml:space="preserve">Date:  </w:t>
      </w:r>
      <w:r w:rsidR="00D13B1A" w:rsidRPr="00D13B1A">
        <w:rPr>
          <w:bCs/>
          <w:sz w:val="28"/>
        </w:rPr>
        <w:t>18 November 2022</w:t>
      </w:r>
    </w:p>
    <w:p w14:paraId="686CE5D8" w14:textId="77777777" w:rsidR="00912904" w:rsidRPr="00435B5D" w:rsidRDefault="00912904" w:rsidP="00912904">
      <w:pPr>
        <w:pStyle w:val="Heading2"/>
        <w:spacing w:after="240"/>
      </w:pPr>
      <w:r>
        <w:lastRenderedPageBreak/>
        <w:t>Mandatory Checks</w:t>
      </w:r>
    </w:p>
    <w:p w14:paraId="34BA8136" w14:textId="6CD1FBCC" w:rsidR="00912904" w:rsidRPr="00E90AFF" w:rsidRDefault="00912904" w:rsidP="00E90AFF">
      <w:pPr>
        <w:pStyle w:val="Heading3"/>
        <w:ind w:left="0" w:firstLine="0"/>
        <w:rPr>
          <w:sz w:val="28"/>
        </w:rPr>
      </w:pPr>
      <w:r w:rsidRPr="00E90AFF">
        <w:rPr>
          <w:sz w:val="28"/>
        </w:rPr>
        <w:t xml:space="preserve">Ward Councillors notified:  NO, as it impacts on all Wards </w:t>
      </w:r>
    </w:p>
    <w:p w14:paraId="629F8205" w14:textId="77777777" w:rsidR="002A2389" w:rsidRDefault="002A2389" w:rsidP="00912904">
      <w:pPr>
        <w:pStyle w:val="Heading2"/>
        <w:keepNext/>
        <w:spacing w:after="240"/>
      </w:pPr>
      <w:r>
        <w:t>Section 4 - Contact Details and Background Papers</w:t>
      </w:r>
    </w:p>
    <w:p w14:paraId="1C4BF2D4" w14:textId="259C0E86" w:rsidR="002A2389" w:rsidRDefault="002A2389">
      <w:pPr>
        <w:pStyle w:val="Infotext"/>
      </w:pPr>
      <w:r w:rsidRPr="00D914D2">
        <w:rPr>
          <w:b/>
        </w:rPr>
        <w:t>Contact:</w:t>
      </w:r>
      <w:r>
        <w:t xml:space="preserve">  </w:t>
      </w:r>
      <w:r w:rsidR="00714D55">
        <w:t>Susan Dixson, Head of Internal Audit &amp; Corporate Anti-Fraud, 02084241420</w:t>
      </w:r>
    </w:p>
    <w:p w14:paraId="28AF6FE8" w14:textId="3C61917C" w:rsidR="002A2389" w:rsidRDefault="002A2389" w:rsidP="00912904">
      <w:pPr>
        <w:pStyle w:val="Infotext"/>
        <w:spacing w:before="360"/>
      </w:pPr>
      <w:r w:rsidRPr="00D914D2">
        <w:rPr>
          <w:b/>
        </w:rPr>
        <w:t>Background Papers</w:t>
      </w:r>
      <w:r>
        <w:t xml:space="preserve">:  </w:t>
      </w:r>
      <w:r w:rsidR="00714D55">
        <w:t>None</w:t>
      </w:r>
    </w:p>
    <w:p w14:paraId="6D64D64B" w14:textId="77777777" w:rsidR="002A2389" w:rsidRDefault="002A2389" w:rsidP="00912904">
      <w:pPr>
        <w:pStyle w:val="Infotext"/>
        <w:spacing w:before="360" w:after="240"/>
      </w:pPr>
      <w:r>
        <w:t xml:space="preserve">If appropriate, does the report include the following considerations? </w:t>
      </w:r>
    </w:p>
    <w:p w14:paraId="507DF23B" w14:textId="06172315" w:rsidR="00912904" w:rsidRDefault="00912904">
      <w:pPr>
        <w:pStyle w:val="Infotext"/>
        <w:tabs>
          <w:tab w:val="left" w:pos="656"/>
          <w:tab w:val="left" w:pos="6399"/>
        </w:tabs>
      </w:pPr>
      <w:r>
        <w:t>1.</w:t>
      </w:r>
      <w:r>
        <w:tab/>
        <w:t xml:space="preserve">Consultation </w:t>
      </w:r>
      <w:r>
        <w:tab/>
        <w:t>NO</w:t>
      </w:r>
    </w:p>
    <w:p w14:paraId="0AC2AC5C" w14:textId="40A998B9" w:rsidR="00912904" w:rsidRDefault="00912904">
      <w:pPr>
        <w:pStyle w:val="Infotext"/>
        <w:tabs>
          <w:tab w:val="left" w:pos="656"/>
          <w:tab w:val="left" w:pos="6399"/>
        </w:tabs>
      </w:pPr>
      <w:r>
        <w:t>2.</w:t>
      </w:r>
      <w:r>
        <w:tab/>
        <w:t>Priorities</w:t>
      </w:r>
      <w:r>
        <w:tab/>
        <w:t xml:space="preserve">YES </w:t>
      </w:r>
    </w:p>
    <w:p w14:paraId="695B009D" w14:textId="50824906" w:rsidR="00696200" w:rsidRDefault="00696200"/>
    <w:sectPr w:rsidR="00696200"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4936" w14:textId="77777777" w:rsidR="00B91F0D" w:rsidRDefault="00B91F0D">
      <w:r>
        <w:separator/>
      </w:r>
    </w:p>
  </w:endnote>
  <w:endnote w:type="continuationSeparator" w:id="0">
    <w:p w14:paraId="17ABD8D3" w14:textId="77777777" w:rsidR="00B91F0D" w:rsidRDefault="00B9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6CFB" w14:textId="77777777" w:rsidR="00B91F0D" w:rsidRDefault="00B91F0D">
      <w:r>
        <w:separator/>
      </w:r>
    </w:p>
  </w:footnote>
  <w:footnote w:type="continuationSeparator" w:id="0">
    <w:p w14:paraId="6D644E0F" w14:textId="77777777" w:rsidR="00B91F0D" w:rsidRDefault="00B91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1011D"/>
    <w:multiLevelType w:val="hybridMultilevel"/>
    <w:tmpl w:val="E652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66F96"/>
    <w:multiLevelType w:val="hybridMultilevel"/>
    <w:tmpl w:val="7E1A1A6E"/>
    <w:lvl w:ilvl="0" w:tplc="12BAA98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4B62FAE"/>
    <w:multiLevelType w:val="hybridMultilevel"/>
    <w:tmpl w:val="A96A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BB3F09"/>
    <w:multiLevelType w:val="hybridMultilevel"/>
    <w:tmpl w:val="96048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F65BF5"/>
    <w:multiLevelType w:val="hybridMultilevel"/>
    <w:tmpl w:val="032E3C48"/>
    <w:lvl w:ilvl="0" w:tplc="F7645B6C">
      <w:start w:val="1"/>
      <w:numFmt w:val="bullet"/>
      <w:lvlText w:val="•"/>
      <w:lvlJc w:val="left"/>
      <w:pPr>
        <w:tabs>
          <w:tab w:val="num" w:pos="720"/>
        </w:tabs>
        <w:ind w:left="720" w:hanging="360"/>
      </w:pPr>
      <w:rPr>
        <w:rFonts w:ascii="Arial" w:hAnsi="Arial" w:hint="default"/>
      </w:rPr>
    </w:lvl>
    <w:lvl w:ilvl="1" w:tplc="AB0EAA22" w:tentative="1">
      <w:start w:val="1"/>
      <w:numFmt w:val="bullet"/>
      <w:lvlText w:val="•"/>
      <w:lvlJc w:val="left"/>
      <w:pPr>
        <w:tabs>
          <w:tab w:val="num" w:pos="1440"/>
        </w:tabs>
        <w:ind w:left="1440" w:hanging="360"/>
      </w:pPr>
      <w:rPr>
        <w:rFonts w:ascii="Arial" w:hAnsi="Arial" w:hint="default"/>
      </w:rPr>
    </w:lvl>
    <w:lvl w:ilvl="2" w:tplc="7B529072" w:tentative="1">
      <w:start w:val="1"/>
      <w:numFmt w:val="bullet"/>
      <w:lvlText w:val="•"/>
      <w:lvlJc w:val="left"/>
      <w:pPr>
        <w:tabs>
          <w:tab w:val="num" w:pos="2160"/>
        </w:tabs>
        <w:ind w:left="2160" w:hanging="360"/>
      </w:pPr>
      <w:rPr>
        <w:rFonts w:ascii="Arial" w:hAnsi="Arial" w:hint="default"/>
      </w:rPr>
    </w:lvl>
    <w:lvl w:ilvl="3" w:tplc="FD94AEEE" w:tentative="1">
      <w:start w:val="1"/>
      <w:numFmt w:val="bullet"/>
      <w:lvlText w:val="•"/>
      <w:lvlJc w:val="left"/>
      <w:pPr>
        <w:tabs>
          <w:tab w:val="num" w:pos="2880"/>
        </w:tabs>
        <w:ind w:left="2880" w:hanging="360"/>
      </w:pPr>
      <w:rPr>
        <w:rFonts w:ascii="Arial" w:hAnsi="Arial" w:hint="default"/>
      </w:rPr>
    </w:lvl>
    <w:lvl w:ilvl="4" w:tplc="73AABFCC" w:tentative="1">
      <w:start w:val="1"/>
      <w:numFmt w:val="bullet"/>
      <w:lvlText w:val="•"/>
      <w:lvlJc w:val="left"/>
      <w:pPr>
        <w:tabs>
          <w:tab w:val="num" w:pos="3600"/>
        </w:tabs>
        <w:ind w:left="3600" w:hanging="360"/>
      </w:pPr>
      <w:rPr>
        <w:rFonts w:ascii="Arial" w:hAnsi="Arial" w:hint="default"/>
      </w:rPr>
    </w:lvl>
    <w:lvl w:ilvl="5" w:tplc="8DDA70B8" w:tentative="1">
      <w:start w:val="1"/>
      <w:numFmt w:val="bullet"/>
      <w:lvlText w:val="•"/>
      <w:lvlJc w:val="left"/>
      <w:pPr>
        <w:tabs>
          <w:tab w:val="num" w:pos="4320"/>
        </w:tabs>
        <w:ind w:left="4320" w:hanging="360"/>
      </w:pPr>
      <w:rPr>
        <w:rFonts w:ascii="Arial" w:hAnsi="Arial" w:hint="default"/>
      </w:rPr>
    </w:lvl>
    <w:lvl w:ilvl="6" w:tplc="C5CCBCD8" w:tentative="1">
      <w:start w:val="1"/>
      <w:numFmt w:val="bullet"/>
      <w:lvlText w:val="•"/>
      <w:lvlJc w:val="left"/>
      <w:pPr>
        <w:tabs>
          <w:tab w:val="num" w:pos="5040"/>
        </w:tabs>
        <w:ind w:left="5040" w:hanging="360"/>
      </w:pPr>
      <w:rPr>
        <w:rFonts w:ascii="Arial" w:hAnsi="Arial" w:hint="default"/>
      </w:rPr>
    </w:lvl>
    <w:lvl w:ilvl="7" w:tplc="40E4EA04" w:tentative="1">
      <w:start w:val="1"/>
      <w:numFmt w:val="bullet"/>
      <w:lvlText w:val="•"/>
      <w:lvlJc w:val="left"/>
      <w:pPr>
        <w:tabs>
          <w:tab w:val="num" w:pos="5760"/>
        </w:tabs>
        <w:ind w:left="5760" w:hanging="360"/>
      </w:pPr>
      <w:rPr>
        <w:rFonts w:ascii="Arial" w:hAnsi="Arial" w:hint="default"/>
      </w:rPr>
    </w:lvl>
    <w:lvl w:ilvl="8" w:tplc="3EAEE9E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3A6143"/>
    <w:multiLevelType w:val="hybridMultilevel"/>
    <w:tmpl w:val="81540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7"/>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6"/>
  </w:num>
  <w:num w:numId="9">
    <w:abstractNumId w:val="5"/>
  </w:num>
  <w:num w:numId="10">
    <w:abstractNumId w:val="16"/>
  </w:num>
  <w:num w:numId="11">
    <w:abstractNumId w:val="20"/>
  </w:num>
  <w:num w:numId="12">
    <w:abstractNumId w:val="15"/>
  </w:num>
  <w:num w:numId="13">
    <w:abstractNumId w:val="3"/>
  </w:num>
  <w:num w:numId="14">
    <w:abstractNumId w:val="7"/>
  </w:num>
  <w:num w:numId="15">
    <w:abstractNumId w:val="10"/>
  </w:num>
  <w:num w:numId="16">
    <w:abstractNumId w:val="0"/>
  </w:num>
  <w:num w:numId="17">
    <w:abstractNumId w:val="19"/>
  </w:num>
  <w:num w:numId="18">
    <w:abstractNumId w:val="2"/>
  </w:num>
  <w:num w:numId="19">
    <w:abstractNumId w:val="14"/>
  </w:num>
  <w:num w:numId="20">
    <w:abstractNumId w:val="11"/>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413B9"/>
    <w:rsid w:val="00057F10"/>
    <w:rsid w:val="000633A2"/>
    <w:rsid w:val="00071EB4"/>
    <w:rsid w:val="00077298"/>
    <w:rsid w:val="000A58A1"/>
    <w:rsid w:val="000A6659"/>
    <w:rsid w:val="000B0E6F"/>
    <w:rsid w:val="000B6DBB"/>
    <w:rsid w:val="000D2BF2"/>
    <w:rsid w:val="000D5870"/>
    <w:rsid w:val="000F65C0"/>
    <w:rsid w:val="001939BA"/>
    <w:rsid w:val="001A6EB0"/>
    <w:rsid w:val="001B441D"/>
    <w:rsid w:val="001C5225"/>
    <w:rsid w:val="001E0219"/>
    <w:rsid w:val="00213BE7"/>
    <w:rsid w:val="002201B3"/>
    <w:rsid w:val="0022762B"/>
    <w:rsid w:val="002306D2"/>
    <w:rsid w:val="00231A1D"/>
    <w:rsid w:val="00244120"/>
    <w:rsid w:val="002559D9"/>
    <w:rsid w:val="00293F9F"/>
    <w:rsid w:val="002A2389"/>
    <w:rsid w:val="002C08E2"/>
    <w:rsid w:val="002C1794"/>
    <w:rsid w:val="002D2FC5"/>
    <w:rsid w:val="002E6637"/>
    <w:rsid w:val="002E77E3"/>
    <w:rsid w:val="00306ACC"/>
    <w:rsid w:val="00332947"/>
    <w:rsid w:val="00333EB4"/>
    <w:rsid w:val="00345915"/>
    <w:rsid w:val="00365D29"/>
    <w:rsid w:val="00374F22"/>
    <w:rsid w:val="003D2FFE"/>
    <w:rsid w:val="003D5F0A"/>
    <w:rsid w:val="00400032"/>
    <w:rsid w:val="0042394B"/>
    <w:rsid w:val="00473B08"/>
    <w:rsid w:val="00474B5F"/>
    <w:rsid w:val="00493E23"/>
    <w:rsid w:val="004A3CE6"/>
    <w:rsid w:val="004A4A1D"/>
    <w:rsid w:val="004B2C9D"/>
    <w:rsid w:val="004B4A47"/>
    <w:rsid w:val="004D20A9"/>
    <w:rsid w:val="004E667D"/>
    <w:rsid w:val="004E6AF9"/>
    <w:rsid w:val="004F0B35"/>
    <w:rsid w:val="004F11C6"/>
    <w:rsid w:val="005031DF"/>
    <w:rsid w:val="0054321A"/>
    <w:rsid w:val="00597314"/>
    <w:rsid w:val="005A61AF"/>
    <w:rsid w:val="005D0886"/>
    <w:rsid w:val="005E384D"/>
    <w:rsid w:val="005F2181"/>
    <w:rsid w:val="005F724B"/>
    <w:rsid w:val="00606705"/>
    <w:rsid w:val="00610913"/>
    <w:rsid w:val="0061668E"/>
    <w:rsid w:val="00625DFF"/>
    <w:rsid w:val="0063072B"/>
    <w:rsid w:val="00662891"/>
    <w:rsid w:val="006628B7"/>
    <w:rsid w:val="00675FCB"/>
    <w:rsid w:val="00696200"/>
    <w:rsid w:val="00696C79"/>
    <w:rsid w:val="006A0B87"/>
    <w:rsid w:val="006B3942"/>
    <w:rsid w:val="006C3914"/>
    <w:rsid w:val="006C4D4C"/>
    <w:rsid w:val="006D3648"/>
    <w:rsid w:val="006E4960"/>
    <w:rsid w:val="00714D55"/>
    <w:rsid w:val="00717E8A"/>
    <w:rsid w:val="0074184E"/>
    <w:rsid w:val="00743829"/>
    <w:rsid w:val="00755F8D"/>
    <w:rsid w:val="00775554"/>
    <w:rsid w:val="007855AE"/>
    <w:rsid w:val="00796503"/>
    <w:rsid w:val="007B0CB6"/>
    <w:rsid w:val="007D2BDA"/>
    <w:rsid w:val="007D56C8"/>
    <w:rsid w:val="007E3934"/>
    <w:rsid w:val="007E7303"/>
    <w:rsid w:val="008212A0"/>
    <w:rsid w:val="008249BC"/>
    <w:rsid w:val="008356B0"/>
    <w:rsid w:val="008368BE"/>
    <w:rsid w:val="00837F53"/>
    <w:rsid w:val="00862DDC"/>
    <w:rsid w:val="008D1750"/>
    <w:rsid w:val="008D7800"/>
    <w:rsid w:val="008D7B9F"/>
    <w:rsid w:val="008E2910"/>
    <w:rsid w:val="008E4913"/>
    <w:rsid w:val="00900464"/>
    <w:rsid w:val="0090100E"/>
    <w:rsid w:val="00901AE8"/>
    <w:rsid w:val="00912904"/>
    <w:rsid w:val="0093767E"/>
    <w:rsid w:val="00972A02"/>
    <w:rsid w:val="0099517C"/>
    <w:rsid w:val="009A0937"/>
    <w:rsid w:val="009B2ECD"/>
    <w:rsid w:val="009B7914"/>
    <w:rsid w:val="009F430B"/>
    <w:rsid w:val="009F509C"/>
    <w:rsid w:val="00A160B2"/>
    <w:rsid w:val="00A16271"/>
    <w:rsid w:val="00A566E7"/>
    <w:rsid w:val="00A630BF"/>
    <w:rsid w:val="00A73B25"/>
    <w:rsid w:val="00A940D3"/>
    <w:rsid w:val="00A96FCA"/>
    <w:rsid w:val="00AA4BE8"/>
    <w:rsid w:val="00AC0AAB"/>
    <w:rsid w:val="00AC7BA9"/>
    <w:rsid w:val="00B0425E"/>
    <w:rsid w:val="00B900E2"/>
    <w:rsid w:val="00B9118E"/>
    <w:rsid w:val="00B91F0D"/>
    <w:rsid w:val="00BD6115"/>
    <w:rsid w:val="00BD684A"/>
    <w:rsid w:val="00C32DAE"/>
    <w:rsid w:val="00C40E24"/>
    <w:rsid w:val="00C568E9"/>
    <w:rsid w:val="00C61B80"/>
    <w:rsid w:val="00C92D9A"/>
    <w:rsid w:val="00C96EF5"/>
    <w:rsid w:val="00CD2C31"/>
    <w:rsid w:val="00D13B1A"/>
    <w:rsid w:val="00D25064"/>
    <w:rsid w:val="00D32B51"/>
    <w:rsid w:val="00D34668"/>
    <w:rsid w:val="00D3740E"/>
    <w:rsid w:val="00D40335"/>
    <w:rsid w:val="00D6499E"/>
    <w:rsid w:val="00D82F57"/>
    <w:rsid w:val="00D841A5"/>
    <w:rsid w:val="00D914D2"/>
    <w:rsid w:val="00DA25DB"/>
    <w:rsid w:val="00DA6A3A"/>
    <w:rsid w:val="00DB0791"/>
    <w:rsid w:val="00DD4251"/>
    <w:rsid w:val="00E02B50"/>
    <w:rsid w:val="00E03F11"/>
    <w:rsid w:val="00E06DC8"/>
    <w:rsid w:val="00E220B5"/>
    <w:rsid w:val="00E33D93"/>
    <w:rsid w:val="00E609EF"/>
    <w:rsid w:val="00E8515B"/>
    <w:rsid w:val="00E86164"/>
    <w:rsid w:val="00E90AFF"/>
    <w:rsid w:val="00EF2F91"/>
    <w:rsid w:val="00F33EE3"/>
    <w:rsid w:val="00F4213B"/>
    <w:rsid w:val="00F56A03"/>
    <w:rsid w:val="00F64455"/>
    <w:rsid w:val="00F806B8"/>
    <w:rsid w:val="00F849ED"/>
    <w:rsid w:val="00F92398"/>
    <w:rsid w:val="00FD31A0"/>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styleId="NormalWeb">
    <w:name w:val="Normal (Web)"/>
    <w:basedOn w:val="Normal"/>
    <w:semiHidden/>
    <w:unhideWhenUsed/>
    <w:rsid w:val="00696C79"/>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3.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1338</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Miriam Wearing</cp:lastModifiedBy>
  <cp:revision>3</cp:revision>
  <cp:lastPrinted>2007-07-12T09:53:00Z</cp:lastPrinted>
  <dcterms:created xsi:type="dcterms:W3CDTF">2022-11-22T10:07:00Z</dcterms:created>
  <dcterms:modified xsi:type="dcterms:W3CDTF">2022-11-22T10:15:00Z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